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09" w:rsidRPr="00A8562E" w:rsidRDefault="00290B09" w:rsidP="00290B09">
      <w:pPr>
        <w:pStyle w:val="Heading1"/>
        <w:ind w:left="-720" w:right="-720"/>
        <w:rPr>
          <w:b/>
          <w:sz w:val="30"/>
          <w:szCs w:val="30"/>
        </w:rPr>
      </w:pPr>
      <w:bookmarkStart w:id="0" w:name="_GoBack"/>
      <w:bookmarkEnd w:id="0"/>
      <w:r w:rsidRPr="00A8562E">
        <w:rPr>
          <w:b/>
          <w:sz w:val="30"/>
          <w:szCs w:val="30"/>
        </w:rPr>
        <w:t xml:space="preserve">As of June 30, 2017 Homeless Statistics – HMIS Emergency Shelter Data </w:t>
      </w:r>
    </w:p>
    <w:p w:rsidR="00290B09" w:rsidRDefault="00290B09" w:rsidP="00290B09">
      <w:pPr>
        <w:ind w:left="-720" w:right="-720"/>
      </w:pPr>
    </w:p>
    <w:p w:rsidR="00290B09" w:rsidRPr="00290B09" w:rsidRDefault="00290B09" w:rsidP="00290B09">
      <w:pPr>
        <w:pStyle w:val="NoSpacing"/>
        <w:spacing w:after="120"/>
        <w:ind w:left="-720" w:right="-720"/>
        <w:rPr>
          <w:rFonts w:asciiTheme="majorHAnsi" w:hAnsiTheme="majorHAnsi" w:cstheme="majorHAnsi"/>
          <w:b/>
          <w:color w:val="363B73" w:themeColor="text2"/>
          <w:sz w:val="24"/>
          <w:szCs w:val="24"/>
        </w:rPr>
      </w:pPr>
      <w:r w:rsidRPr="00290B09">
        <w:rPr>
          <w:rFonts w:asciiTheme="majorHAnsi" w:hAnsiTheme="majorHAnsi" w:cstheme="majorHAnsi"/>
          <w:b/>
          <w:color w:val="363B73" w:themeColor="text2"/>
          <w:sz w:val="24"/>
          <w:szCs w:val="24"/>
        </w:rPr>
        <w:t>Unique Clients January to June</w:t>
      </w:r>
    </w:p>
    <w:p w:rsidR="00290B09" w:rsidRPr="00290B09" w:rsidRDefault="00290B09" w:rsidP="00290B09">
      <w:pPr>
        <w:ind w:left="-720" w:right="-720"/>
        <w:rPr>
          <w:szCs w:val="24"/>
        </w:rPr>
      </w:pPr>
      <w:r w:rsidRPr="00290B09">
        <w:rPr>
          <w:szCs w:val="24"/>
        </w:rPr>
        <w:t>Q1 2017: 3,057</w:t>
      </w:r>
    </w:p>
    <w:p w:rsidR="00290B09" w:rsidRPr="00290B09" w:rsidRDefault="00290B09" w:rsidP="00290B09">
      <w:pPr>
        <w:ind w:left="-720" w:right="-720"/>
        <w:rPr>
          <w:szCs w:val="24"/>
          <w:vertAlign w:val="superscript"/>
        </w:rPr>
      </w:pPr>
      <w:r w:rsidRPr="00290B09">
        <w:rPr>
          <w:szCs w:val="24"/>
        </w:rPr>
        <w:t>Q2 2017: 2</w:t>
      </w:r>
      <w:proofErr w:type="gramStart"/>
      <w:r w:rsidRPr="00290B09">
        <w:rPr>
          <w:szCs w:val="24"/>
        </w:rPr>
        <w:t>,621</w:t>
      </w:r>
      <w:r w:rsidRPr="00290B09">
        <w:rPr>
          <w:szCs w:val="24"/>
          <w:vertAlign w:val="superscript"/>
        </w:rPr>
        <w:t>1</w:t>
      </w:r>
      <w:proofErr w:type="gramEnd"/>
    </w:p>
    <w:p w:rsidR="00290B09" w:rsidRPr="00290B09" w:rsidRDefault="00290B09" w:rsidP="00290B09">
      <w:pPr>
        <w:ind w:left="-720" w:right="-720"/>
        <w:rPr>
          <w:szCs w:val="24"/>
          <w:vertAlign w:val="superscript"/>
        </w:rPr>
      </w:pPr>
    </w:p>
    <w:p w:rsidR="00290B09" w:rsidRPr="00290B09" w:rsidRDefault="00290B09" w:rsidP="00290B09">
      <w:pPr>
        <w:ind w:left="-720" w:right="-720"/>
        <w:rPr>
          <w:szCs w:val="24"/>
        </w:rPr>
      </w:pPr>
      <w:r w:rsidRPr="00290B09">
        <w:rPr>
          <w:szCs w:val="24"/>
          <w:vertAlign w:val="superscript"/>
        </w:rPr>
        <w:t>1</w:t>
      </w:r>
      <w:r w:rsidRPr="00290B09">
        <w:rPr>
          <w:szCs w:val="24"/>
        </w:rPr>
        <w:t>Does not include clients from Domestic Violence shelters</w:t>
      </w:r>
    </w:p>
    <w:p w:rsidR="00290B09" w:rsidRPr="00290B09" w:rsidRDefault="00290B09" w:rsidP="00290B09">
      <w:pPr>
        <w:ind w:left="-720" w:right="-720"/>
        <w:jc w:val="center"/>
        <w:rPr>
          <w:szCs w:val="24"/>
        </w:rPr>
      </w:pPr>
    </w:p>
    <w:p w:rsidR="00290B09" w:rsidRPr="00290B09" w:rsidRDefault="00290B09" w:rsidP="00290B09">
      <w:pPr>
        <w:pStyle w:val="NoSpacing"/>
        <w:spacing w:after="120"/>
        <w:ind w:left="-720" w:right="-720"/>
        <w:rPr>
          <w:rFonts w:asciiTheme="majorHAnsi" w:hAnsiTheme="majorHAnsi" w:cstheme="majorHAnsi"/>
          <w:b/>
          <w:color w:val="363B73" w:themeColor="text2"/>
          <w:sz w:val="24"/>
          <w:szCs w:val="24"/>
        </w:rPr>
      </w:pPr>
      <w:r w:rsidRPr="00290B09">
        <w:rPr>
          <w:rFonts w:asciiTheme="majorHAnsi" w:hAnsiTheme="majorHAnsi" w:cstheme="majorHAnsi"/>
          <w:b/>
          <w:color w:val="363B73" w:themeColor="text2"/>
          <w:sz w:val="24"/>
          <w:szCs w:val="24"/>
        </w:rPr>
        <w:t>Point in Time Survey: Conducted on January 24, 2017</w:t>
      </w: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444"/>
        <w:gridCol w:w="3154"/>
        <w:gridCol w:w="2062"/>
      </w:tblGrid>
      <w:tr w:rsidR="00290B09" w:rsidRPr="00290B09" w:rsidTr="00417C22">
        <w:trPr>
          <w:jc w:val="center"/>
        </w:trPr>
        <w:tc>
          <w:tcPr>
            <w:tcW w:w="3955" w:type="dxa"/>
          </w:tcPr>
          <w:p w:rsidR="00290B09" w:rsidRPr="00290B09" w:rsidRDefault="00290B09" w:rsidP="00417C22">
            <w:pPr>
              <w:rPr>
                <w:szCs w:val="24"/>
              </w:rPr>
            </w:pPr>
          </w:p>
        </w:tc>
        <w:tc>
          <w:tcPr>
            <w:tcW w:w="1444" w:type="dxa"/>
          </w:tcPr>
          <w:p w:rsidR="00290B09" w:rsidRPr="00290B09" w:rsidRDefault="00290B09" w:rsidP="00417C22">
            <w:pPr>
              <w:rPr>
                <w:szCs w:val="24"/>
              </w:rPr>
            </w:pPr>
          </w:p>
        </w:tc>
        <w:tc>
          <w:tcPr>
            <w:tcW w:w="5216" w:type="dxa"/>
            <w:gridSpan w:val="2"/>
          </w:tcPr>
          <w:p w:rsidR="00290B09" w:rsidRPr="00290B09" w:rsidRDefault="00290B09" w:rsidP="00417C22">
            <w:pPr>
              <w:rPr>
                <w:b/>
                <w:szCs w:val="24"/>
              </w:rPr>
            </w:pPr>
            <w:r w:rsidRPr="00290B09">
              <w:rPr>
                <w:b/>
                <w:szCs w:val="24"/>
              </w:rPr>
              <w:t>Subpopulations:</w:t>
            </w:r>
          </w:p>
        </w:tc>
      </w:tr>
      <w:tr w:rsidR="00290B09" w:rsidRPr="00290B09" w:rsidTr="00417C22">
        <w:trPr>
          <w:jc w:val="center"/>
        </w:trPr>
        <w:tc>
          <w:tcPr>
            <w:tcW w:w="3955" w:type="dxa"/>
          </w:tcPr>
          <w:p w:rsidR="00290B09" w:rsidRPr="00290B09" w:rsidRDefault="00290B09" w:rsidP="00417C22">
            <w:pPr>
              <w:rPr>
                <w:szCs w:val="24"/>
              </w:rPr>
            </w:pPr>
            <w:r w:rsidRPr="00290B09">
              <w:rPr>
                <w:szCs w:val="24"/>
              </w:rPr>
              <w:t>Individuals in households w/ children</w:t>
            </w:r>
          </w:p>
        </w:tc>
        <w:tc>
          <w:tcPr>
            <w:tcW w:w="1444" w:type="dxa"/>
          </w:tcPr>
          <w:p w:rsidR="00290B09" w:rsidRPr="00290B09" w:rsidRDefault="00290B09" w:rsidP="00417C22">
            <w:pPr>
              <w:rPr>
                <w:szCs w:val="24"/>
              </w:rPr>
            </w:pPr>
            <w:r w:rsidRPr="00290B09">
              <w:rPr>
                <w:szCs w:val="24"/>
              </w:rPr>
              <w:t>403</w:t>
            </w:r>
          </w:p>
        </w:tc>
        <w:tc>
          <w:tcPr>
            <w:tcW w:w="3154" w:type="dxa"/>
          </w:tcPr>
          <w:p w:rsidR="00290B09" w:rsidRPr="00290B09" w:rsidRDefault="00290B09" w:rsidP="00417C22">
            <w:pPr>
              <w:rPr>
                <w:szCs w:val="24"/>
              </w:rPr>
            </w:pPr>
            <w:r w:rsidRPr="00290B09">
              <w:rPr>
                <w:szCs w:val="24"/>
              </w:rPr>
              <w:t>Domestic Violence (all)</w:t>
            </w:r>
          </w:p>
        </w:tc>
        <w:tc>
          <w:tcPr>
            <w:tcW w:w="2062" w:type="dxa"/>
          </w:tcPr>
          <w:p w:rsidR="00290B09" w:rsidRPr="00290B09" w:rsidRDefault="00290B09" w:rsidP="00417C22">
            <w:pPr>
              <w:rPr>
                <w:szCs w:val="24"/>
              </w:rPr>
            </w:pPr>
            <w:r w:rsidRPr="00290B09">
              <w:rPr>
                <w:szCs w:val="24"/>
              </w:rPr>
              <w:t>225</w:t>
            </w:r>
          </w:p>
        </w:tc>
      </w:tr>
      <w:tr w:rsidR="00290B09" w:rsidRPr="00290B09" w:rsidTr="00417C22">
        <w:trPr>
          <w:jc w:val="center"/>
        </w:trPr>
        <w:tc>
          <w:tcPr>
            <w:tcW w:w="3955" w:type="dxa"/>
          </w:tcPr>
          <w:p w:rsidR="00290B09" w:rsidRPr="00290B09" w:rsidRDefault="00290B09" w:rsidP="00417C22">
            <w:pPr>
              <w:rPr>
                <w:szCs w:val="24"/>
              </w:rPr>
            </w:pPr>
            <w:r w:rsidRPr="00290B09">
              <w:rPr>
                <w:szCs w:val="24"/>
              </w:rPr>
              <w:t>Individuals in households w/o children</w:t>
            </w:r>
          </w:p>
        </w:tc>
        <w:tc>
          <w:tcPr>
            <w:tcW w:w="1444" w:type="dxa"/>
          </w:tcPr>
          <w:p w:rsidR="00290B09" w:rsidRPr="00290B09" w:rsidRDefault="00290B09" w:rsidP="00417C22">
            <w:pPr>
              <w:rPr>
                <w:szCs w:val="24"/>
              </w:rPr>
            </w:pPr>
            <w:r w:rsidRPr="00290B09">
              <w:rPr>
                <w:szCs w:val="24"/>
              </w:rPr>
              <w:t>785</w:t>
            </w:r>
          </w:p>
        </w:tc>
        <w:tc>
          <w:tcPr>
            <w:tcW w:w="3154" w:type="dxa"/>
          </w:tcPr>
          <w:p w:rsidR="00290B09" w:rsidRPr="00290B09" w:rsidRDefault="00290B09" w:rsidP="00417C22">
            <w:pPr>
              <w:rPr>
                <w:szCs w:val="24"/>
              </w:rPr>
            </w:pPr>
            <w:r w:rsidRPr="00290B09">
              <w:rPr>
                <w:szCs w:val="24"/>
              </w:rPr>
              <w:t>Veterans</w:t>
            </w:r>
          </w:p>
        </w:tc>
        <w:tc>
          <w:tcPr>
            <w:tcW w:w="2062" w:type="dxa"/>
          </w:tcPr>
          <w:p w:rsidR="00290B09" w:rsidRPr="00290B09" w:rsidRDefault="00290B09" w:rsidP="00417C22">
            <w:pPr>
              <w:rPr>
                <w:szCs w:val="24"/>
              </w:rPr>
            </w:pPr>
            <w:r w:rsidRPr="00290B09">
              <w:rPr>
                <w:szCs w:val="24"/>
              </w:rPr>
              <w:t>76</w:t>
            </w:r>
          </w:p>
        </w:tc>
      </w:tr>
      <w:tr w:rsidR="00290B09" w:rsidRPr="00290B09" w:rsidTr="00417C22">
        <w:trPr>
          <w:jc w:val="center"/>
        </w:trPr>
        <w:tc>
          <w:tcPr>
            <w:tcW w:w="3955" w:type="dxa"/>
          </w:tcPr>
          <w:p w:rsidR="00290B09" w:rsidRPr="00290B09" w:rsidRDefault="00290B09" w:rsidP="00417C22">
            <w:pPr>
              <w:rPr>
                <w:b/>
                <w:szCs w:val="24"/>
              </w:rPr>
            </w:pPr>
            <w:r w:rsidRPr="00290B09">
              <w:rPr>
                <w:b/>
                <w:szCs w:val="24"/>
              </w:rPr>
              <w:t>Total</w:t>
            </w:r>
          </w:p>
        </w:tc>
        <w:tc>
          <w:tcPr>
            <w:tcW w:w="1444" w:type="dxa"/>
          </w:tcPr>
          <w:p w:rsidR="00290B09" w:rsidRPr="00290B09" w:rsidRDefault="00290B09" w:rsidP="00417C22">
            <w:pPr>
              <w:rPr>
                <w:b/>
                <w:szCs w:val="24"/>
                <w:vertAlign w:val="superscript"/>
              </w:rPr>
            </w:pPr>
            <w:r w:rsidRPr="00290B09">
              <w:rPr>
                <w:b/>
                <w:szCs w:val="24"/>
              </w:rPr>
              <w:t>1,188</w:t>
            </w:r>
            <w:r w:rsidRPr="00290B09">
              <w:rPr>
                <w:b/>
                <w:szCs w:val="24"/>
                <w:vertAlign w:val="superscript"/>
              </w:rPr>
              <w:t>2</w:t>
            </w:r>
          </w:p>
        </w:tc>
        <w:tc>
          <w:tcPr>
            <w:tcW w:w="3154" w:type="dxa"/>
          </w:tcPr>
          <w:p w:rsidR="00290B09" w:rsidRPr="00290B09" w:rsidRDefault="00290B09" w:rsidP="00417C22">
            <w:pPr>
              <w:rPr>
                <w:szCs w:val="24"/>
              </w:rPr>
            </w:pPr>
            <w:r w:rsidRPr="00290B09">
              <w:rPr>
                <w:szCs w:val="24"/>
              </w:rPr>
              <w:t>Unaccompanied Youth (18-24)</w:t>
            </w:r>
          </w:p>
        </w:tc>
        <w:tc>
          <w:tcPr>
            <w:tcW w:w="2062" w:type="dxa"/>
          </w:tcPr>
          <w:p w:rsidR="00290B09" w:rsidRPr="00290B09" w:rsidRDefault="00290B09" w:rsidP="00417C22">
            <w:pPr>
              <w:rPr>
                <w:szCs w:val="24"/>
              </w:rPr>
            </w:pPr>
            <w:r w:rsidRPr="00290B09">
              <w:rPr>
                <w:szCs w:val="24"/>
              </w:rPr>
              <w:t>105</w:t>
            </w:r>
          </w:p>
        </w:tc>
      </w:tr>
      <w:tr w:rsidR="00290B09" w:rsidRPr="00290B09" w:rsidTr="00417C22">
        <w:trPr>
          <w:jc w:val="center"/>
        </w:trPr>
        <w:tc>
          <w:tcPr>
            <w:tcW w:w="3955" w:type="dxa"/>
          </w:tcPr>
          <w:p w:rsidR="00290B09" w:rsidRPr="00290B09" w:rsidRDefault="00290B09" w:rsidP="00417C22">
            <w:pPr>
              <w:rPr>
                <w:szCs w:val="24"/>
              </w:rPr>
            </w:pPr>
          </w:p>
        </w:tc>
        <w:tc>
          <w:tcPr>
            <w:tcW w:w="1444" w:type="dxa"/>
          </w:tcPr>
          <w:p w:rsidR="00290B09" w:rsidRPr="00290B09" w:rsidRDefault="00290B09" w:rsidP="00417C22">
            <w:pPr>
              <w:rPr>
                <w:szCs w:val="24"/>
              </w:rPr>
            </w:pPr>
          </w:p>
        </w:tc>
        <w:tc>
          <w:tcPr>
            <w:tcW w:w="3154" w:type="dxa"/>
          </w:tcPr>
          <w:p w:rsidR="00290B09" w:rsidRPr="00290B09" w:rsidRDefault="00290B09" w:rsidP="00417C22">
            <w:pPr>
              <w:rPr>
                <w:szCs w:val="24"/>
              </w:rPr>
            </w:pPr>
            <w:r w:rsidRPr="00290B09">
              <w:rPr>
                <w:szCs w:val="24"/>
              </w:rPr>
              <w:t>Unaccompanied Youth (&lt;18)</w:t>
            </w:r>
          </w:p>
        </w:tc>
        <w:tc>
          <w:tcPr>
            <w:tcW w:w="2062" w:type="dxa"/>
          </w:tcPr>
          <w:p w:rsidR="00290B09" w:rsidRPr="00290B09" w:rsidRDefault="00290B09" w:rsidP="00417C22">
            <w:pPr>
              <w:rPr>
                <w:szCs w:val="24"/>
              </w:rPr>
            </w:pPr>
            <w:r w:rsidRPr="00290B09">
              <w:rPr>
                <w:szCs w:val="24"/>
              </w:rPr>
              <w:t>17</w:t>
            </w:r>
          </w:p>
        </w:tc>
      </w:tr>
      <w:tr w:rsidR="00290B09" w:rsidRPr="00290B09" w:rsidTr="00417C22">
        <w:trPr>
          <w:jc w:val="center"/>
        </w:trPr>
        <w:tc>
          <w:tcPr>
            <w:tcW w:w="10615" w:type="dxa"/>
            <w:gridSpan w:val="4"/>
          </w:tcPr>
          <w:p w:rsidR="00290B09" w:rsidRPr="00290B09" w:rsidRDefault="00290B09" w:rsidP="00417C22">
            <w:pPr>
              <w:rPr>
                <w:szCs w:val="24"/>
              </w:rPr>
            </w:pPr>
          </w:p>
          <w:p w:rsidR="00290B09" w:rsidRPr="00290B09" w:rsidRDefault="00290B09" w:rsidP="00417C22">
            <w:pPr>
              <w:rPr>
                <w:szCs w:val="24"/>
              </w:rPr>
            </w:pPr>
            <w:r w:rsidRPr="00290B09">
              <w:rPr>
                <w:szCs w:val="24"/>
                <w:vertAlign w:val="superscript"/>
              </w:rPr>
              <w:t>2</w:t>
            </w:r>
            <w:r w:rsidRPr="00290B09">
              <w:rPr>
                <w:szCs w:val="24"/>
              </w:rPr>
              <w:t>Total does not include 1,094 individuals in transitional housing reported to HUD</w:t>
            </w:r>
          </w:p>
        </w:tc>
      </w:tr>
    </w:tbl>
    <w:p w:rsidR="00290B09" w:rsidRPr="00290B09" w:rsidRDefault="00290B09" w:rsidP="00290B09">
      <w:pPr>
        <w:pStyle w:val="NoSpacing"/>
        <w:spacing w:after="120"/>
        <w:ind w:left="-720" w:right="-720"/>
        <w:rPr>
          <w:rFonts w:asciiTheme="majorHAnsi" w:hAnsiTheme="majorHAnsi" w:cstheme="majorHAnsi"/>
          <w:b/>
          <w:color w:val="363B73" w:themeColor="text2"/>
          <w:sz w:val="24"/>
          <w:szCs w:val="24"/>
        </w:rPr>
      </w:pPr>
    </w:p>
    <w:p w:rsidR="00290B09" w:rsidRPr="00290B09" w:rsidRDefault="00290B09" w:rsidP="00290B09">
      <w:pPr>
        <w:pStyle w:val="NoSpacing"/>
        <w:spacing w:after="120"/>
        <w:ind w:left="-720" w:right="-720"/>
        <w:rPr>
          <w:rFonts w:asciiTheme="majorHAnsi" w:hAnsiTheme="majorHAnsi" w:cstheme="majorHAnsi"/>
          <w:b/>
          <w:color w:val="363B73" w:themeColor="text2"/>
          <w:sz w:val="24"/>
          <w:szCs w:val="24"/>
        </w:rPr>
      </w:pPr>
      <w:r w:rsidRPr="00290B09">
        <w:rPr>
          <w:rFonts w:asciiTheme="majorHAnsi" w:hAnsiTheme="majorHAnsi" w:cstheme="majorHAnsi"/>
          <w:b/>
          <w:color w:val="363B73" w:themeColor="text2"/>
          <w:sz w:val="24"/>
          <w:szCs w:val="24"/>
        </w:rPr>
        <w:t xml:space="preserve">Veterans – </w:t>
      </w:r>
      <w:r w:rsidRPr="001E2A12">
        <w:rPr>
          <w:rFonts w:asciiTheme="majorHAnsi" w:hAnsiTheme="majorHAnsi" w:cstheme="majorHAnsi"/>
          <w:b/>
          <w:i/>
          <w:color w:val="363B73" w:themeColor="text2"/>
          <w:sz w:val="24"/>
          <w:szCs w:val="24"/>
        </w:rPr>
        <w:t>Self Reported in Shelters</w:t>
      </w:r>
    </w:p>
    <w:p w:rsidR="00290B09" w:rsidRPr="00290B09" w:rsidRDefault="00290B09" w:rsidP="00290B09">
      <w:pPr>
        <w:ind w:left="-720" w:right="-720"/>
        <w:rPr>
          <w:szCs w:val="24"/>
        </w:rPr>
      </w:pPr>
      <w:r w:rsidRPr="00290B09">
        <w:rPr>
          <w:szCs w:val="24"/>
        </w:rPr>
        <w:t xml:space="preserve">January to June 2017 </w:t>
      </w:r>
      <w:proofErr w:type="spellStart"/>
      <w:r w:rsidRPr="00290B09">
        <w:rPr>
          <w:szCs w:val="24"/>
        </w:rPr>
        <w:t>deduplicated</w:t>
      </w:r>
      <w:proofErr w:type="spellEnd"/>
      <w:r w:rsidRPr="00290B09">
        <w:rPr>
          <w:szCs w:val="24"/>
        </w:rPr>
        <w:t xml:space="preserve"> statewide total: 247</w:t>
      </w:r>
    </w:p>
    <w:p w:rsidR="00290B09" w:rsidRPr="00290B09" w:rsidRDefault="00290B09" w:rsidP="00290B09">
      <w:pPr>
        <w:ind w:left="-720" w:right="-720"/>
        <w:rPr>
          <w:szCs w:val="24"/>
        </w:rPr>
      </w:pP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290B09" w:rsidRPr="00290B09" w:rsidTr="00290B09">
        <w:trPr>
          <w:jc w:val="center"/>
        </w:trPr>
        <w:tc>
          <w:tcPr>
            <w:tcW w:w="2880" w:type="dxa"/>
          </w:tcPr>
          <w:p w:rsidR="00290B09" w:rsidRPr="00290B09" w:rsidRDefault="00290B09" w:rsidP="00417C22">
            <w:pPr>
              <w:rPr>
                <w:b/>
                <w:szCs w:val="24"/>
                <w:u w:val="single"/>
              </w:rPr>
            </w:pPr>
            <w:r w:rsidRPr="00290B09">
              <w:rPr>
                <w:b/>
                <w:szCs w:val="24"/>
                <w:u w:val="single"/>
              </w:rPr>
              <w:t>A</w:t>
            </w:r>
            <w:r>
              <w:rPr>
                <w:b/>
                <w:szCs w:val="24"/>
                <w:u w:val="single"/>
              </w:rPr>
              <w:t>ge Ranges</w:t>
            </w:r>
          </w:p>
        </w:tc>
        <w:tc>
          <w:tcPr>
            <w:tcW w:w="2880" w:type="dxa"/>
          </w:tcPr>
          <w:p w:rsidR="00290B09" w:rsidRPr="00290B09" w:rsidRDefault="00290B09" w:rsidP="00417C22">
            <w:pPr>
              <w:rPr>
                <w:b/>
                <w:szCs w:val="24"/>
                <w:u w:val="single"/>
              </w:rPr>
            </w:pPr>
            <w:r>
              <w:rPr>
                <w:b/>
                <w:szCs w:val="24"/>
                <w:u w:val="single"/>
              </w:rPr>
              <w:t>Gender Identity</w:t>
            </w:r>
          </w:p>
        </w:tc>
        <w:tc>
          <w:tcPr>
            <w:tcW w:w="2880" w:type="dxa"/>
          </w:tcPr>
          <w:p w:rsidR="00290B09" w:rsidRPr="00290B09" w:rsidRDefault="00290B09" w:rsidP="00417C22">
            <w:pPr>
              <w:rPr>
                <w:b/>
                <w:szCs w:val="24"/>
                <w:u w:val="single"/>
              </w:rPr>
            </w:pPr>
            <w:r>
              <w:rPr>
                <w:b/>
                <w:szCs w:val="24"/>
                <w:u w:val="single"/>
              </w:rPr>
              <w:t>Disability of Long Duration</w:t>
            </w:r>
          </w:p>
        </w:tc>
      </w:tr>
      <w:tr w:rsidR="00290B09" w:rsidRPr="00290B09" w:rsidTr="00290B09">
        <w:trPr>
          <w:jc w:val="center"/>
        </w:trPr>
        <w:tc>
          <w:tcPr>
            <w:tcW w:w="2880" w:type="dxa"/>
          </w:tcPr>
          <w:p w:rsidR="00290B09" w:rsidRPr="00290B09" w:rsidRDefault="00290B09" w:rsidP="00417C22">
            <w:pPr>
              <w:tabs>
                <w:tab w:val="left" w:pos="702"/>
              </w:tabs>
              <w:rPr>
                <w:szCs w:val="24"/>
              </w:rPr>
            </w:pPr>
            <w:r w:rsidRPr="00290B09">
              <w:rPr>
                <w:szCs w:val="24"/>
              </w:rPr>
              <w:t>18-30:  25 (10%)</w:t>
            </w:r>
          </w:p>
        </w:tc>
        <w:tc>
          <w:tcPr>
            <w:tcW w:w="2880" w:type="dxa"/>
          </w:tcPr>
          <w:p w:rsidR="00290B09" w:rsidRPr="00290B09" w:rsidRDefault="00290B09" w:rsidP="00417C22">
            <w:pPr>
              <w:rPr>
                <w:szCs w:val="24"/>
              </w:rPr>
            </w:pPr>
            <w:r w:rsidRPr="00290B09">
              <w:rPr>
                <w:szCs w:val="24"/>
              </w:rPr>
              <w:t xml:space="preserve">Male: </w:t>
            </w:r>
            <w:r w:rsidRPr="00290B09">
              <w:rPr>
                <w:szCs w:val="24"/>
              </w:rPr>
              <w:tab/>
              <w:t xml:space="preserve">         226 (91%)</w:t>
            </w:r>
          </w:p>
        </w:tc>
        <w:tc>
          <w:tcPr>
            <w:tcW w:w="2880" w:type="dxa"/>
          </w:tcPr>
          <w:p w:rsidR="00290B09" w:rsidRPr="00290B09" w:rsidRDefault="00290B09" w:rsidP="00417C22">
            <w:pPr>
              <w:rPr>
                <w:szCs w:val="24"/>
              </w:rPr>
            </w:pPr>
            <w:r>
              <w:rPr>
                <w:szCs w:val="24"/>
              </w:rPr>
              <w:t>158 (64%)</w:t>
            </w:r>
          </w:p>
        </w:tc>
      </w:tr>
      <w:tr w:rsidR="00290B09" w:rsidRPr="00290B09" w:rsidTr="00290B09">
        <w:trPr>
          <w:jc w:val="center"/>
        </w:trPr>
        <w:tc>
          <w:tcPr>
            <w:tcW w:w="2880" w:type="dxa"/>
          </w:tcPr>
          <w:p w:rsidR="00290B09" w:rsidRPr="00290B09" w:rsidRDefault="00290B09" w:rsidP="00290B09">
            <w:pPr>
              <w:tabs>
                <w:tab w:val="left" w:pos="702"/>
              </w:tabs>
              <w:rPr>
                <w:szCs w:val="24"/>
              </w:rPr>
            </w:pPr>
            <w:r w:rsidRPr="00290B09">
              <w:rPr>
                <w:szCs w:val="24"/>
              </w:rPr>
              <w:t xml:space="preserve">31-45: </w:t>
            </w:r>
            <w:r w:rsidRPr="00290B09">
              <w:rPr>
                <w:szCs w:val="24"/>
              </w:rPr>
              <w:tab/>
              <w:t>67 (27%)</w:t>
            </w:r>
          </w:p>
        </w:tc>
        <w:tc>
          <w:tcPr>
            <w:tcW w:w="2880" w:type="dxa"/>
          </w:tcPr>
          <w:p w:rsidR="00290B09" w:rsidRPr="00290B09" w:rsidRDefault="00290B09" w:rsidP="00290B09">
            <w:pPr>
              <w:rPr>
                <w:szCs w:val="24"/>
              </w:rPr>
            </w:pPr>
            <w:r w:rsidRPr="00290B09">
              <w:rPr>
                <w:szCs w:val="24"/>
              </w:rPr>
              <w:t>Female:         16 (6%)</w:t>
            </w:r>
          </w:p>
        </w:tc>
        <w:tc>
          <w:tcPr>
            <w:tcW w:w="2880" w:type="dxa"/>
          </w:tcPr>
          <w:p w:rsidR="00290B09" w:rsidRPr="00290B09" w:rsidRDefault="00290B09" w:rsidP="00290B09">
            <w:pPr>
              <w:rPr>
                <w:b/>
                <w:szCs w:val="24"/>
                <w:u w:val="single"/>
              </w:rPr>
            </w:pPr>
          </w:p>
        </w:tc>
      </w:tr>
      <w:tr w:rsidR="00290B09" w:rsidRPr="00290B09" w:rsidTr="00290B09">
        <w:trPr>
          <w:jc w:val="center"/>
        </w:trPr>
        <w:tc>
          <w:tcPr>
            <w:tcW w:w="2880" w:type="dxa"/>
          </w:tcPr>
          <w:p w:rsidR="00290B09" w:rsidRPr="00290B09" w:rsidRDefault="00290B09" w:rsidP="00290B09">
            <w:pPr>
              <w:tabs>
                <w:tab w:val="left" w:pos="702"/>
              </w:tabs>
              <w:rPr>
                <w:szCs w:val="24"/>
              </w:rPr>
            </w:pPr>
            <w:r w:rsidRPr="00290B09">
              <w:rPr>
                <w:szCs w:val="24"/>
              </w:rPr>
              <w:t xml:space="preserve">46-64: </w:t>
            </w:r>
            <w:r w:rsidRPr="00290B09">
              <w:rPr>
                <w:szCs w:val="24"/>
              </w:rPr>
              <w:tab/>
              <w:t>134 (54%)</w:t>
            </w:r>
          </w:p>
        </w:tc>
        <w:tc>
          <w:tcPr>
            <w:tcW w:w="2880" w:type="dxa"/>
          </w:tcPr>
          <w:p w:rsidR="00290B09" w:rsidRPr="00290B09" w:rsidRDefault="00290B09" w:rsidP="00290B09">
            <w:pPr>
              <w:rPr>
                <w:szCs w:val="24"/>
              </w:rPr>
            </w:pPr>
            <w:r w:rsidRPr="00290B09">
              <w:rPr>
                <w:szCs w:val="24"/>
              </w:rPr>
              <w:t>Transgender: 1(0%)</w:t>
            </w:r>
          </w:p>
        </w:tc>
        <w:tc>
          <w:tcPr>
            <w:tcW w:w="2880" w:type="dxa"/>
          </w:tcPr>
          <w:p w:rsidR="00290B09" w:rsidRPr="00290B09" w:rsidRDefault="00290B09" w:rsidP="00290B09">
            <w:pPr>
              <w:rPr>
                <w:b/>
                <w:szCs w:val="24"/>
                <w:u w:val="single"/>
              </w:rPr>
            </w:pPr>
            <w:r>
              <w:rPr>
                <w:b/>
                <w:szCs w:val="24"/>
                <w:u w:val="single"/>
              </w:rPr>
              <w:t>Chronically Homeless</w:t>
            </w:r>
          </w:p>
        </w:tc>
      </w:tr>
      <w:tr w:rsidR="00290B09" w:rsidRPr="00290B09" w:rsidTr="00290B09">
        <w:trPr>
          <w:jc w:val="center"/>
        </w:trPr>
        <w:tc>
          <w:tcPr>
            <w:tcW w:w="2880" w:type="dxa"/>
          </w:tcPr>
          <w:p w:rsidR="00290B09" w:rsidRPr="00290B09" w:rsidRDefault="00290B09" w:rsidP="00290B09">
            <w:pPr>
              <w:pStyle w:val="NoSpacing"/>
              <w:tabs>
                <w:tab w:val="left" w:pos="5760"/>
                <w:tab w:val="left" w:pos="6480"/>
              </w:tabs>
              <w:rPr>
                <w:sz w:val="24"/>
                <w:szCs w:val="24"/>
              </w:rPr>
            </w:pPr>
            <w:r w:rsidRPr="00290B09">
              <w:rPr>
                <w:sz w:val="24"/>
                <w:szCs w:val="24"/>
              </w:rPr>
              <w:t>65+:     22 (9%)</w:t>
            </w:r>
          </w:p>
        </w:tc>
        <w:tc>
          <w:tcPr>
            <w:tcW w:w="2880" w:type="dxa"/>
          </w:tcPr>
          <w:p w:rsidR="00290B09" w:rsidRPr="00290B09" w:rsidRDefault="00290B09" w:rsidP="00290B09">
            <w:pPr>
              <w:rPr>
                <w:szCs w:val="24"/>
              </w:rPr>
            </w:pPr>
            <w:r w:rsidRPr="00290B09">
              <w:rPr>
                <w:szCs w:val="24"/>
              </w:rPr>
              <w:t>Missing:        5 (2%)</w:t>
            </w:r>
          </w:p>
        </w:tc>
        <w:tc>
          <w:tcPr>
            <w:tcW w:w="2880" w:type="dxa"/>
          </w:tcPr>
          <w:p w:rsidR="00290B09" w:rsidRPr="00290B09" w:rsidRDefault="00290B09" w:rsidP="00290B09">
            <w:pPr>
              <w:rPr>
                <w:szCs w:val="24"/>
              </w:rPr>
            </w:pPr>
            <w:r>
              <w:rPr>
                <w:szCs w:val="24"/>
              </w:rPr>
              <w:t>42 (17%)</w:t>
            </w:r>
          </w:p>
        </w:tc>
      </w:tr>
    </w:tbl>
    <w:p w:rsidR="00290B09" w:rsidRPr="00290B09" w:rsidRDefault="00290B09" w:rsidP="00290B09">
      <w:pPr>
        <w:pStyle w:val="NoSpacing"/>
        <w:ind w:right="-720"/>
        <w:rPr>
          <w:sz w:val="24"/>
          <w:szCs w:val="24"/>
        </w:rPr>
      </w:pPr>
    </w:p>
    <w:p w:rsidR="00290B09" w:rsidRPr="00290B09" w:rsidRDefault="00290B09" w:rsidP="00290B09">
      <w:pPr>
        <w:spacing w:after="120"/>
        <w:ind w:left="-720" w:right="-720"/>
        <w:rPr>
          <w:rFonts w:asciiTheme="majorHAnsi" w:hAnsiTheme="majorHAnsi" w:cstheme="majorHAnsi"/>
          <w:b/>
          <w:color w:val="363B73" w:themeColor="text2"/>
          <w:szCs w:val="24"/>
        </w:rPr>
      </w:pPr>
      <w:r w:rsidRPr="00290B09">
        <w:rPr>
          <w:rFonts w:asciiTheme="majorHAnsi" w:hAnsiTheme="majorHAnsi" w:cstheme="majorHAnsi"/>
          <w:b/>
          <w:color w:val="363B73" w:themeColor="text2"/>
          <w:szCs w:val="24"/>
        </w:rPr>
        <w:t>Long Term Stayers in Emergency Shelters (&gt;180 days in 12 months)</w:t>
      </w:r>
    </w:p>
    <w:p w:rsidR="00290B09" w:rsidRPr="00290B09" w:rsidRDefault="00290B09" w:rsidP="00290B09">
      <w:pPr>
        <w:pStyle w:val="NoSpacing"/>
        <w:spacing w:after="120"/>
        <w:ind w:left="-720" w:right="-720" w:firstLine="720"/>
        <w:rPr>
          <w:sz w:val="24"/>
          <w:szCs w:val="24"/>
        </w:rPr>
      </w:pPr>
      <w:r w:rsidRPr="00290B09">
        <w:rPr>
          <w:sz w:val="24"/>
          <w:szCs w:val="24"/>
        </w:rPr>
        <w:t xml:space="preserve">Long Term Stayers (LTS) are defined as people staying over 180 cumulative days in shelters (or outdoors) within a 365 day period (not necessarily consecutive).  </w:t>
      </w:r>
    </w:p>
    <w:p w:rsidR="00290B09" w:rsidRPr="00290B09" w:rsidRDefault="00290B09" w:rsidP="00290B09">
      <w:pPr>
        <w:pStyle w:val="NoSpacing"/>
        <w:spacing w:after="120"/>
        <w:ind w:left="-720" w:right="-720" w:firstLine="720"/>
        <w:rPr>
          <w:sz w:val="24"/>
          <w:szCs w:val="24"/>
        </w:rPr>
      </w:pPr>
      <w:r w:rsidRPr="00290B09">
        <w:rPr>
          <w:sz w:val="24"/>
          <w:szCs w:val="24"/>
        </w:rPr>
        <w:t xml:space="preserve">This definition was created by Maine’s Statewide Homeless Council because HUD’s Chronic Homelessness definition did not work well in rural areas of Maine where single adults tend to bounce from shelter to shelter so that their lengths of stay in any one shelter do not meet the HUD definition of chronically homeless. (Chronically homeless were difficult to find.  LTS have been far easier to find, and upon investigation 100% have also met the definition of chronic homelessness). Chronically homeless (and LTS) have tended to be almost exclusively single adults.  </w:t>
      </w:r>
    </w:p>
    <w:p w:rsidR="00290B09" w:rsidRPr="00290B09" w:rsidRDefault="00290B09" w:rsidP="00290B09">
      <w:pPr>
        <w:pStyle w:val="NoSpacing"/>
        <w:spacing w:after="120"/>
        <w:ind w:left="-720" w:right="-720"/>
        <w:rPr>
          <w:sz w:val="24"/>
          <w:szCs w:val="24"/>
        </w:rPr>
      </w:pPr>
      <w:r w:rsidRPr="00290B09">
        <w:rPr>
          <w:sz w:val="24"/>
          <w:szCs w:val="24"/>
        </w:rPr>
        <w:lastRenderedPageBreak/>
        <w:t xml:space="preserve">Efforts began across the state in 2013 to prioritize the LTS population. In July 2013, when the LTS were first counted, there were 262 single adults that met the criteria.  The single adult LTS population found in 2013 included a significant portion that had been homeless for years and even decades. Focused efforts from providers, shelter staff, DHHS and MaineHousing with a variety of initiatives and pilot programs have resulted in a significant decrease in the single adult LTS population. Since 2015, families have now entered the group of LTS, and their stays have been increasing. </w:t>
      </w:r>
    </w:p>
    <w:p w:rsidR="00290B09" w:rsidRPr="00290B09" w:rsidRDefault="00290B09" w:rsidP="00290B09">
      <w:pPr>
        <w:pStyle w:val="NoSpacing"/>
        <w:ind w:left="-720" w:right="-720"/>
        <w:rPr>
          <w:sz w:val="24"/>
          <w:szCs w:val="24"/>
        </w:rPr>
      </w:pPr>
    </w:p>
    <w:p w:rsidR="00290B09" w:rsidRPr="00A8562E" w:rsidRDefault="00290B09" w:rsidP="00A8562E">
      <w:pPr>
        <w:pStyle w:val="NoSpacing"/>
        <w:spacing w:after="120"/>
        <w:ind w:left="-720" w:right="-720"/>
        <w:rPr>
          <w:rFonts w:asciiTheme="majorHAnsi" w:hAnsiTheme="majorHAnsi" w:cstheme="majorHAnsi"/>
          <w:b/>
          <w:color w:val="363B73" w:themeColor="text2"/>
          <w:sz w:val="24"/>
          <w:szCs w:val="24"/>
        </w:rPr>
      </w:pPr>
      <w:r w:rsidRPr="00290B09">
        <w:rPr>
          <w:rFonts w:asciiTheme="majorHAnsi" w:hAnsiTheme="majorHAnsi" w:cstheme="majorHAnsi"/>
          <w:b/>
          <w:color w:val="363B73" w:themeColor="text2"/>
          <w:sz w:val="24"/>
          <w:szCs w:val="24"/>
        </w:rPr>
        <w:t>Statewide LTS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250"/>
        <w:gridCol w:w="2246"/>
        <w:gridCol w:w="1601"/>
      </w:tblGrid>
      <w:tr w:rsidR="0024709D" w:rsidRPr="0024709D" w:rsidTr="0024709D">
        <w:trPr>
          <w:jc w:val="center"/>
        </w:trPr>
        <w:tc>
          <w:tcPr>
            <w:tcW w:w="8808" w:type="dxa"/>
            <w:gridSpan w:val="4"/>
          </w:tcPr>
          <w:p w:rsidR="0024709D" w:rsidRPr="0024709D" w:rsidRDefault="0024709D" w:rsidP="0024709D">
            <w:pPr>
              <w:spacing w:after="120"/>
              <w:jc w:val="center"/>
              <w:rPr>
                <w:b/>
                <w:szCs w:val="24"/>
              </w:rPr>
            </w:pPr>
            <w:r w:rsidRPr="0024709D">
              <w:rPr>
                <w:rFonts w:cstheme="majorHAnsi"/>
                <w:b/>
                <w:szCs w:val="24"/>
              </w:rPr>
              <w:t>LTS Remaining in Shelters</w:t>
            </w:r>
          </w:p>
        </w:tc>
      </w:tr>
      <w:tr w:rsidR="00290B09" w:rsidRPr="0024709D" w:rsidTr="0024709D">
        <w:trPr>
          <w:jc w:val="center"/>
        </w:trPr>
        <w:tc>
          <w:tcPr>
            <w:tcW w:w="2714" w:type="dxa"/>
          </w:tcPr>
          <w:p w:rsidR="00290B09" w:rsidRPr="0024709D" w:rsidRDefault="00290B09" w:rsidP="00417C22">
            <w:pPr>
              <w:spacing w:after="120"/>
              <w:rPr>
                <w:szCs w:val="24"/>
              </w:rPr>
            </w:pPr>
          </w:p>
        </w:tc>
        <w:tc>
          <w:tcPr>
            <w:tcW w:w="2250" w:type="dxa"/>
          </w:tcPr>
          <w:p w:rsidR="00932498" w:rsidRDefault="00932498" w:rsidP="00932498">
            <w:pPr>
              <w:pStyle w:val="NoSpacing"/>
              <w:rPr>
                <w:rFonts w:cstheme="majorHAnsi"/>
                <w:b/>
                <w:sz w:val="24"/>
                <w:szCs w:val="24"/>
              </w:rPr>
            </w:pPr>
            <w:r w:rsidRPr="0095121F">
              <w:rPr>
                <w:rFonts w:cstheme="majorHAnsi"/>
                <w:b/>
                <w:sz w:val="24"/>
                <w:szCs w:val="24"/>
              </w:rPr>
              <w:t xml:space="preserve">July 2015 to </w:t>
            </w:r>
          </w:p>
          <w:p w:rsidR="00290B09" w:rsidRPr="0024709D" w:rsidRDefault="00932498" w:rsidP="00932498">
            <w:pPr>
              <w:spacing w:after="120"/>
              <w:rPr>
                <w:b/>
                <w:szCs w:val="24"/>
              </w:rPr>
            </w:pPr>
            <w:r>
              <w:rPr>
                <w:rFonts w:cstheme="majorHAnsi"/>
                <w:b/>
                <w:szCs w:val="24"/>
              </w:rPr>
              <w:t>July</w:t>
            </w:r>
            <w:r w:rsidRPr="0095121F">
              <w:rPr>
                <w:rFonts w:cstheme="majorHAnsi"/>
                <w:b/>
                <w:szCs w:val="24"/>
              </w:rPr>
              <w:t xml:space="preserve"> 2016</w:t>
            </w:r>
          </w:p>
        </w:tc>
        <w:tc>
          <w:tcPr>
            <w:tcW w:w="2246" w:type="dxa"/>
          </w:tcPr>
          <w:p w:rsidR="00932498" w:rsidRDefault="00932498" w:rsidP="00932498">
            <w:pPr>
              <w:pStyle w:val="NoSpacing"/>
              <w:rPr>
                <w:rFonts w:cstheme="majorHAnsi"/>
                <w:b/>
                <w:sz w:val="24"/>
                <w:szCs w:val="24"/>
              </w:rPr>
            </w:pPr>
            <w:r w:rsidRPr="0095121F">
              <w:rPr>
                <w:rFonts w:cstheme="majorHAnsi"/>
                <w:b/>
                <w:sz w:val="24"/>
                <w:szCs w:val="24"/>
              </w:rPr>
              <w:t xml:space="preserve">July 2016 to </w:t>
            </w:r>
          </w:p>
          <w:p w:rsidR="00290B09" w:rsidRPr="0024709D" w:rsidRDefault="00932498" w:rsidP="00932498">
            <w:pPr>
              <w:spacing w:after="120"/>
              <w:rPr>
                <w:b/>
                <w:szCs w:val="24"/>
              </w:rPr>
            </w:pPr>
            <w:r>
              <w:rPr>
                <w:rFonts w:cstheme="majorHAnsi"/>
                <w:b/>
                <w:szCs w:val="24"/>
              </w:rPr>
              <w:t>July</w:t>
            </w:r>
            <w:r w:rsidRPr="0095121F">
              <w:rPr>
                <w:rFonts w:cstheme="majorHAnsi"/>
                <w:b/>
                <w:szCs w:val="24"/>
              </w:rPr>
              <w:t xml:space="preserve"> 2017</w:t>
            </w:r>
          </w:p>
        </w:tc>
        <w:tc>
          <w:tcPr>
            <w:tcW w:w="1601" w:type="dxa"/>
          </w:tcPr>
          <w:p w:rsidR="00290B09" w:rsidRPr="0024709D" w:rsidRDefault="00290B09" w:rsidP="00417C22">
            <w:pPr>
              <w:spacing w:after="120"/>
              <w:rPr>
                <w:b/>
                <w:szCs w:val="24"/>
              </w:rPr>
            </w:pPr>
            <w:r w:rsidRPr="0024709D">
              <w:rPr>
                <w:b/>
                <w:szCs w:val="24"/>
              </w:rPr>
              <w:t>Change</w:t>
            </w:r>
          </w:p>
        </w:tc>
      </w:tr>
      <w:tr w:rsidR="00290B09" w:rsidRPr="0024709D" w:rsidTr="0024709D">
        <w:trPr>
          <w:jc w:val="center"/>
        </w:trPr>
        <w:tc>
          <w:tcPr>
            <w:tcW w:w="2714" w:type="dxa"/>
          </w:tcPr>
          <w:p w:rsidR="00290B09" w:rsidRPr="0024709D" w:rsidRDefault="00290B09" w:rsidP="00417C22">
            <w:pPr>
              <w:spacing w:after="120"/>
              <w:rPr>
                <w:b/>
                <w:szCs w:val="24"/>
              </w:rPr>
            </w:pPr>
            <w:r w:rsidRPr="0024709D">
              <w:rPr>
                <w:b/>
                <w:szCs w:val="24"/>
              </w:rPr>
              <w:t>Single Individuals</w:t>
            </w:r>
          </w:p>
        </w:tc>
        <w:tc>
          <w:tcPr>
            <w:tcW w:w="2250" w:type="dxa"/>
          </w:tcPr>
          <w:p w:rsidR="00290B09" w:rsidRPr="0024709D" w:rsidRDefault="00290B09" w:rsidP="00417C22">
            <w:pPr>
              <w:spacing w:after="120"/>
              <w:rPr>
                <w:szCs w:val="24"/>
              </w:rPr>
            </w:pPr>
            <w:r w:rsidRPr="0024709D">
              <w:rPr>
                <w:szCs w:val="24"/>
              </w:rPr>
              <w:t>91</w:t>
            </w:r>
          </w:p>
        </w:tc>
        <w:tc>
          <w:tcPr>
            <w:tcW w:w="2246" w:type="dxa"/>
          </w:tcPr>
          <w:p w:rsidR="00290B09" w:rsidRPr="0024709D" w:rsidRDefault="00290B09" w:rsidP="00417C22">
            <w:pPr>
              <w:spacing w:after="120"/>
              <w:rPr>
                <w:szCs w:val="24"/>
              </w:rPr>
            </w:pPr>
            <w:r w:rsidRPr="0024709D">
              <w:rPr>
                <w:szCs w:val="24"/>
              </w:rPr>
              <w:t>70</w:t>
            </w:r>
          </w:p>
        </w:tc>
        <w:tc>
          <w:tcPr>
            <w:tcW w:w="1601" w:type="dxa"/>
          </w:tcPr>
          <w:p w:rsidR="00290B09" w:rsidRPr="0024709D" w:rsidRDefault="00290B09" w:rsidP="00417C22">
            <w:pPr>
              <w:spacing w:after="120"/>
              <w:rPr>
                <w:szCs w:val="24"/>
              </w:rPr>
            </w:pPr>
            <w:r w:rsidRPr="0024709D">
              <w:rPr>
                <w:szCs w:val="24"/>
              </w:rPr>
              <w:t>-21 (-21%)</w:t>
            </w:r>
          </w:p>
        </w:tc>
      </w:tr>
      <w:tr w:rsidR="00290B09" w:rsidRPr="0024709D" w:rsidTr="0024709D">
        <w:trPr>
          <w:jc w:val="center"/>
        </w:trPr>
        <w:tc>
          <w:tcPr>
            <w:tcW w:w="2714" w:type="dxa"/>
          </w:tcPr>
          <w:p w:rsidR="00290B09" w:rsidRPr="0024709D" w:rsidRDefault="00290B09" w:rsidP="00417C22">
            <w:pPr>
              <w:spacing w:after="120"/>
              <w:rPr>
                <w:b/>
                <w:szCs w:val="24"/>
              </w:rPr>
            </w:pPr>
            <w:r w:rsidRPr="0024709D">
              <w:rPr>
                <w:b/>
                <w:szCs w:val="24"/>
              </w:rPr>
              <w:t>People within families</w:t>
            </w:r>
          </w:p>
        </w:tc>
        <w:tc>
          <w:tcPr>
            <w:tcW w:w="2250" w:type="dxa"/>
          </w:tcPr>
          <w:p w:rsidR="00290B09" w:rsidRPr="0024709D" w:rsidRDefault="00290B09" w:rsidP="00417C22">
            <w:pPr>
              <w:spacing w:after="120"/>
              <w:rPr>
                <w:szCs w:val="24"/>
              </w:rPr>
            </w:pPr>
            <w:r w:rsidRPr="0024709D">
              <w:rPr>
                <w:szCs w:val="24"/>
              </w:rPr>
              <w:t>17</w:t>
            </w:r>
          </w:p>
        </w:tc>
        <w:tc>
          <w:tcPr>
            <w:tcW w:w="2246" w:type="dxa"/>
          </w:tcPr>
          <w:p w:rsidR="00290B09" w:rsidRPr="0024709D" w:rsidRDefault="00290B09" w:rsidP="00417C22">
            <w:pPr>
              <w:spacing w:after="120"/>
              <w:rPr>
                <w:szCs w:val="24"/>
              </w:rPr>
            </w:pPr>
            <w:r w:rsidRPr="0024709D">
              <w:rPr>
                <w:szCs w:val="24"/>
              </w:rPr>
              <w:t>29</w:t>
            </w:r>
          </w:p>
        </w:tc>
        <w:tc>
          <w:tcPr>
            <w:tcW w:w="1601" w:type="dxa"/>
          </w:tcPr>
          <w:p w:rsidR="00290B09" w:rsidRPr="0024709D" w:rsidRDefault="00290B09" w:rsidP="00417C22">
            <w:pPr>
              <w:spacing w:after="120"/>
              <w:rPr>
                <w:szCs w:val="24"/>
              </w:rPr>
            </w:pPr>
            <w:r w:rsidRPr="0024709D">
              <w:rPr>
                <w:szCs w:val="24"/>
              </w:rPr>
              <w:t>+12 (+71%)</w:t>
            </w:r>
          </w:p>
        </w:tc>
      </w:tr>
      <w:tr w:rsidR="0024709D" w:rsidRPr="0024709D" w:rsidTr="0024709D">
        <w:trPr>
          <w:jc w:val="center"/>
        </w:trPr>
        <w:tc>
          <w:tcPr>
            <w:tcW w:w="2714" w:type="dxa"/>
          </w:tcPr>
          <w:p w:rsidR="0024709D" w:rsidRPr="0024709D" w:rsidRDefault="0024709D" w:rsidP="00417C22">
            <w:pPr>
              <w:spacing w:after="120"/>
              <w:rPr>
                <w:b/>
                <w:szCs w:val="24"/>
              </w:rPr>
            </w:pPr>
            <w:r w:rsidRPr="0024709D">
              <w:rPr>
                <w:b/>
                <w:szCs w:val="24"/>
              </w:rPr>
              <w:t>Total</w:t>
            </w:r>
            <w:r>
              <w:rPr>
                <w:b/>
                <w:szCs w:val="24"/>
              </w:rPr>
              <w:t xml:space="preserve"> LTS</w:t>
            </w:r>
          </w:p>
        </w:tc>
        <w:tc>
          <w:tcPr>
            <w:tcW w:w="2250" w:type="dxa"/>
          </w:tcPr>
          <w:p w:rsidR="0024709D" w:rsidRPr="0024709D" w:rsidRDefault="0024709D" w:rsidP="00417C22">
            <w:pPr>
              <w:spacing w:after="120"/>
              <w:rPr>
                <w:b/>
                <w:szCs w:val="24"/>
              </w:rPr>
            </w:pPr>
            <w:r w:rsidRPr="0024709D">
              <w:rPr>
                <w:b/>
                <w:szCs w:val="24"/>
              </w:rPr>
              <w:t>108</w:t>
            </w:r>
          </w:p>
        </w:tc>
        <w:tc>
          <w:tcPr>
            <w:tcW w:w="2246" w:type="dxa"/>
          </w:tcPr>
          <w:p w:rsidR="0024709D" w:rsidRPr="0024709D" w:rsidRDefault="0024709D" w:rsidP="00417C22">
            <w:pPr>
              <w:spacing w:after="120"/>
              <w:rPr>
                <w:b/>
                <w:szCs w:val="24"/>
              </w:rPr>
            </w:pPr>
            <w:r w:rsidRPr="0024709D">
              <w:rPr>
                <w:b/>
                <w:szCs w:val="24"/>
              </w:rPr>
              <w:t>99</w:t>
            </w:r>
          </w:p>
        </w:tc>
        <w:tc>
          <w:tcPr>
            <w:tcW w:w="1601" w:type="dxa"/>
          </w:tcPr>
          <w:p w:rsidR="0024709D" w:rsidRPr="0024709D" w:rsidRDefault="0024709D" w:rsidP="00417C22">
            <w:pPr>
              <w:spacing w:after="120"/>
              <w:rPr>
                <w:b/>
                <w:szCs w:val="24"/>
              </w:rPr>
            </w:pPr>
            <w:r w:rsidRPr="0024709D">
              <w:rPr>
                <w:b/>
                <w:szCs w:val="24"/>
              </w:rPr>
              <w:t>-9 (8%)</w:t>
            </w:r>
          </w:p>
        </w:tc>
      </w:tr>
    </w:tbl>
    <w:p w:rsidR="00290B09" w:rsidRDefault="00290B09" w:rsidP="00AE232B">
      <w:pPr>
        <w:pStyle w:val="NoSpacing"/>
        <w:spacing w:after="120"/>
        <w:ind w:right="-720"/>
        <w:rPr>
          <w:rFonts w:asciiTheme="majorHAnsi" w:hAnsiTheme="majorHAnsi" w:cstheme="majorHAnsi"/>
          <w:b/>
          <w:color w:val="363B73" w:themeColor="text2"/>
          <w:sz w:val="24"/>
          <w:szCs w:val="24"/>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985"/>
        <w:gridCol w:w="1980"/>
        <w:gridCol w:w="5670"/>
      </w:tblGrid>
      <w:tr w:rsidR="0095121F" w:rsidRPr="0095121F" w:rsidTr="0095121F">
        <w:tc>
          <w:tcPr>
            <w:tcW w:w="5310" w:type="dxa"/>
            <w:gridSpan w:val="3"/>
          </w:tcPr>
          <w:p w:rsidR="00DF7DF5" w:rsidRPr="0095121F" w:rsidRDefault="00DF7DF5" w:rsidP="00417C22">
            <w:pPr>
              <w:pStyle w:val="NoSpacing"/>
              <w:spacing w:after="120"/>
              <w:rPr>
                <w:rFonts w:asciiTheme="majorHAnsi" w:hAnsiTheme="majorHAnsi" w:cstheme="majorHAnsi"/>
                <w:b/>
                <w:color w:val="363B73" w:themeColor="text2"/>
                <w:sz w:val="24"/>
                <w:szCs w:val="24"/>
              </w:rPr>
            </w:pPr>
            <w:r w:rsidRPr="0095121F">
              <w:rPr>
                <w:rFonts w:asciiTheme="majorHAnsi" w:hAnsiTheme="majorHAnsi" w:cstheme="majorHAnsi"/>
                <w:b/>
                <w:color w:val="363B73" w:themeColor="text2"/>
                <w:sz w:val="24"/>
                <w:szCs w:val="24"/>
              </w:rPr>
              <w:t>Urban Shelter LTS Statistics</w:t>
            </w:r>
          </w:p>
        </w:tc>
        <w:tc>
          <w:tcPr>
            <w:tcW w:w="5670" w:type="dxa"/>
          </w:tcPr>
          <w:p w:rsidR="00DF7DF5" w:rsidRPr="0095121F" w:rsidRDefault="00DF7DF5" w:rsidP="00417C22">
            <w:pPr>
              <w:spacing w:after="120"/>
              <w:rPr>
                <w:rFonts w:asciiTheme="majorHAnsi" w:hAnsiTheme="majorHAnsi" w:cstheme="majorHAnsi"/>
                <w:b/>
                <w:color w:val="363B73" w:themeColor="text2"/>
                <w:szCs w:val="24"/>
              </w:rPr>
            </w:pPr>
            <w:r w:rsidRPr="0095121F">
              <w:rPr>
                <w:rFonts w:asciiTheme="majorHAnsi" w:hAnsiTheme="majorHAnsi" w:cstheme="majorHAnsi"/>
                <w:b/>
                <w:color w:val="363B73" w:themeColor="text2"/>
                <w:szCs w:val="24"/>
              </w:rPr>
              <w:t>Rural Shelter LTS Statistics</w:t>
            </w:r>
          </w:p>
        </w:tc>
      </w:tr>
      <w:tr w:rsidR="00DF7DF5" w:rsidRPr="0095121F" w:rsidTr="0095121F">
        <w:tc>
          <w:tcPr>
            <w:tcW w:w="5310" w:type="dxa"/>
            <w:gridSpan w:val="3"/>
          </w:tcPr>
          <w:p w:rsidR="00DF7DF5" w:rsidRPr="0095121F" w:rsidRDefault="00DF7DF5" w:rsidP="0095121F">
            <w:pPr>
              <w:pStyle w:val="NoSpacing"/>
              <w:rPr>
                <w:sz w:val="24"/>
                <w:szCs w:val="24"/>
              </w:rPr>
            </w:pPr>
            <w:r w:rsidRPr="0095121F">
              <w:rPr>
                <w:b/>
                <w:sz w:val="24"/>
                <w:szCs w:val="24"/>
              </w:rPr>
              <w:t>84</w:t>
            </w:r>
            <w:r w:rsidRPr="0095121F">
              <w:rPr>
                <w:sz w:val="24"/>
                <w:szCs w:val="24"/>
              </w:rPr>
              <w:t xml:space="preserve"> (85%)</w:t>
            </w:r>
          </w:p>
        </w:tc>
        <w:tc>
          <w:tcPr>
            <w:tcW w:w="5670" w:type="dxa"/>
          </w:tcPr>
          <w:p w:rsidR="00DF7DF5" w:rsidRPr="0095121F" w:rsidRDefault="00DF7DF5" w:rsidP="0095121F">
            <w:pPr>
              <w:pStyle w:val="NoSpacing"/>
              <w:rPr>
                <w:sz w:val="24"/>
                <w:szCs w:val="24"/>
              </w:rPr>
            </w:pPr>
            <w:r w:rsidRPr="0095121F">
              <w:rPr>
                <w:b/>
                <w:sz w:val="24"/>
                <w:szCs w:val="24"/>
              </w:rPr>
              <w:t>15</w:t>
            </w:r>
            <w:r w:rsidRPr="0095121F">
              <w:rPr>
                <w:sz w:val="24"/>
                <w:szCs w:val="24"/>
              </w:rPr>
              <w:t xml:space="preserve"> (15%)</w:t>
            </w:r>
          </w:p>
        </w:tc>
      </w:tr>
      <w:tr w:rsidR="00DF7DF5" w:rsidRPr="0095121F" w:rsidTr="0095121F">
        <w:tc>
          <w:tcPr>
            <w:tcW w:w="5310" w:type="dxa"/>
            <w:gridSpan w:val="3"/>
          </w:tcPr>
          <w:p w:rsidR="00DF7DF5" w:rsidRPr="0095121F" w:rsidRDefault="00DF7DF5" w:rsidP="0095121F">
            <w:pPr>
              <w:pStyle w:val="NoSpacing"/>
              <w:rPr>
                <w:sz w:val="24"/>
                <w:szCs w:val="24"/>
              </w:rPr>
            </w:pPr>
            <w:r w:rsidRPr="0095121F">
              <w:rPr>
                <w:b/>
                <w:sz w:val="24"/>
                <w:szCs w:val="24"/>
              </w:rPr>
              <w:t>59</w:t>
            </w:r>
            <w:r w:rsidRPr="0095121F">
              <w:rPr>
                <w:sz w:val="24"/>
                <w:szCs w:val="24"/>
              </w:rPr>
              <w:t xml:space="preserve"> (60%) are in Portland and Bangor</w:t>
            </w:r>
          </w:p>
        </w:tc>
        <w:tc>
          <w:tcPr>
            <w:tcW w:w="5670" w:type="dxa"/>
            <w:vMerge w:val="restart"/>
          </w:tcPr>
          <w:p w:rsidR="0095121F" w:rsidRPr="0095121F" w:rsidRDefault="0095121F" w:rsidP="00417C22">
            <w:pPr>
              <w:spacing w:after="120" w:line="276" w:lineRule="auto"/>
              <w:rPr>
                <w:rFonts w:eastAsiaTheme="minorEastAsia"/>
                <w:szCs w:val="24"/>
              </w:rPr>
            </w:pPr>
          </w:p>
          <w:p w:rsidR="00DF7DF5" w:rsidRPr="0095121F" w:rsidRDefault="00DF7DF5" w:rsidP="00417C22">
            <w:pPr>
              <w:spacing w:after="120" w:line="276" w:lineRule="auto"/>
              <w:rPr>
                <w:rFonts w:eastAsiaTheme="minorEastAsia"/>
                <w:szCs w:val="24"/>
              </w:rPr>
            </w:pPr>
            <w:r w:rsidRPr="0095121F">
              <w:rPr>
                <w:rFonts w:eastAsiaTheme="minorEastAsia"/>
                <w:szCs w:val="24"/>
              </w:rPr>
              <w:t>Rural shelters are defined as any program based in a community which is not listed as urban (Augusta, Bangor, Brunswick, Lewiston, Portland, and Waterville). Unlike urban shelters, all rural shelters serve families, and none serve single adults exclusively.</w:t>
            </w:r>
          </w:p>
          <w:p w:rsidR="00DF7DF5" w:rsidRPr="0095121F" w:rsidRDefault="00DF7DF5" w:rsidP="00417C22">
            <w:pPr>
              <w:pStyle w:val="NoSpacing"/>
              <w:rPr>
                <w:sz w:val="24"/>
                <w:szCs w:val="24"/>
              </w:rPr>
            </w:pPr>
          </w:p>
        </w:tc>
      </w:tr>
      <w:tr w:rsidR="0095121F" w:rsidRPr="0095121F" w:rsidTr="0095121F">
        <w:tc>
          <w:tcPr>
            <w:tcW w:w="1345" w:type="dxa"/>
          </w:tcPr>
          <w:p w:rsidR="0095121F" w:rsidRPr="0095121F" w:rsidRDefault="0095121F" w:rsidP="00417C22">
            <w:pPr>
              <w:pStyle w:val="NoSpacing"/>
              <w:rPr>
                <w:b/>
                <w:sz w:val="24"/>
                <w:szCs w:val="24"/>
              </w:rPr>
            </w:pPr>
          </w:p>
        </w:tc>
        <w:tc>
          <w:tcPr>
            <w:tcW w:w="1985" w:type="dxa"/>
          </w:tcPr>
          <w:p w:rsidR="0095121F" w:rsidRPr="0095121F" w:rsidRDefault="0095121F" w:rsidP="00417C22">
            <w:pPr>
              <w:pStyle w:val="NoSpacing"/>
              <w:rPr>
                <w:rFonts w:cstheme="majorHAnsi"/>
                <w:b/>
                <w:sz w:val="24"/>
                <w:szCs w:val="24"/>
              </w:rPr>
            </w:pPr>
          </w:p>
        </w:tc>
        <w:tc>
          <w:tcPr>
            <w:tcW w:w="1980" w:type="dxa"/>
          </w:tcPr>
          <w:p w:rsidR="0095121F" w:rsidRPr="0095121F" w:rsidRDefault="0095121F" w:rsidP="00417C22">
            <w:pPr>
              <w:pStyle w:val="NoSpacing"/>
              <w:rPr>
                <w:rFonts w:cstheme="majorHAnsi"/>
                <w:b/>
                <w:sz w:val="24"/>
                <w:szCs w:val="24"/>
              </w:rPr>
            </w:pPr>
          </w:p>
        </w:tc>
        <w:tc>
          <w:tcPr>
            <w:tcW w:w="5670" w:type="dxa"/>
            <w:vMerge/>
          </w:tcPr>
          <w:p w:rsidR="0095121F" w:rsidRPr="0095121F" w:rsidRDefault="0095121F" w:rsidP="00417C22">
            <w:pPr>
              <w:pStyle w:val="NoSpacing"/>
              <w:rPr>
                <w:sz w:val="24"/>
                <w:szCs w:val="24"/>
              </w:rPr>
            </w:pPr>
          </w:p>
        </w:tc>
      </w:tr>
      <w:tr w:rsidR="00DF7DF5" w:rsidRPr="0095121F" w:rsidTr="0095121F">
        <w:tc>
          <w:tcPr>
            <w:tcW w:w="1345" w:type="dxa"/>
          </w:tcPr>
          <w:p w:rsidR="00DF7DF5" w:rsidRPr="0095121F" w:rsidRDefault="00DF7DF5" w:rsidP="00417C22">
            <w:pPr>
              <w:pStyle w:val="NoSpacing"/>
              <w:rPr>
                <w:b/>
                <w:sz w:val="24"/>
                <w:szCs w:val="24"/>
              </w:rPr>
            </w:pPr>
            <w:r w:rsidRPr="0095121F">
              <w:rPr>
                <w:b/>
                <w:sz w:val="24"/>
                <w:szCs w:val="24"/>
              </w:rPr>
              <w:t>City</w:t>
            </w:r>
          </w:p>
        </w:tc>
        <w:tc>
          <w:tcPr>
            <w:tcW w:w="1985" w:type="dxa"/>
          </w:tcPr>
          <w:p w:rsidR="0024709D" w:rsidRDefault="00DF7DF5" w:rsidP="00417C22">
            <w:pPr>
              <w:pStyle w:val="NoSpacing"/>
              <w:rPr>
                <w:rFonts w:cstheme="majorHAnsi"/>
                <w:b/>
                <w:sz w:val="24"/>
                <w:szCs w:val="24"/>
              </w:rPr>
            </w:pPr>
            <w:r w:rsidRPr="0095121F">
              <w:rPr>
                <w:rFonts w:cstheme="majorHAnsi"/>
                <w:b/>
                <w:sz w:val="24"/>
                <w:szCs w:val="24"/>
              </w:rPr>
              <w:t xml:space="preserve">July 2015 to </w:t>
            </w:r>
          </w:p>
          <w:p w:rsidR="00DF7DF5" w:rsidRPr="0095121F" w:rsidRDefault="00742F0D" w:rsidP="00417C22">
            <w:pPr>
              <w:pStyle w:val="NoSpacing"/>
              <w:rPr>
                <w:b/>
                <w:sz w:val="24"/>
                <w:szCs w:val="24"/>
              </w:rPr>
            </w:pPr>
            <w:r>
              <w:rPr>
                <w:rFonts w:cstheme="majorHAnsi"/>
                <w:b/>
                <w:sz w:val="24"/>
                <w:szCs w:val="24"/>
              </w:rPr>
              <w:t>July</w:t>
            </w:r>
            <w:r w:rsidR="00DF7DF5" w:rsidRPr="0095121F">
              <w:rPr>
                <w:rFonts w:cstheme="majorHAnsi"/>
                <w:b/>
                <w:sz w:val="24"/>
                <w:szCs w:val="24"/>
              </w:rPr>
              <w:t xml:space="preserve"> 2016</w:t>
            </w:r>
          </w:p>
        </w:tc>
        <w:tc>
          <w:tcPr>
            <w:tcW w:w="1980" w:type="dxa"/>
          </w:tcPr>
          <w:p w:rsidR="0024709D" w:rsidRDefault="00DF7DF5" w:rsidP="00417C22">
            <w:pPr>
              <w:pStyle w:val="NoSpacing"/>
              <w:rPr>
                <w:rFonts w:cstheme="majorHAnsi"/>
                <w:b/>
                <w:sz w:val="24"/>
                <w:szCs w:val="24"/>
              </w:rPr>
            </w:pPr>
            <w:r w:rsidRPr="0095121F">
              <w:rPr>
                <w:rFonts w:cstheme="majorHAnsi"/>
                <w:b/>
                <w:sz w:val="24"/>
                <w:szCs w:val="24"/>
              </w:rPr>
              <w:t xml:space="preserve">July 2016 to </w:t>
            </w:r>
          </w:p>
          <w:p w:rsidR="00DF7DF5" w:rsidRPr="0095121F" w:rsidRDefault="00742F0D" w:rsidP="00417C22">
            <w:pPr>
              <w:pStyle w:val="NoSpacing"/>
              <w:rPr>
                <w:b/>
                <w:sz w:val="24"/>
                <w:szCs w:val="24"/>
              </w:rPr>
            </w:pPr>
            <w:r>
              <w:rPr>
                <w:rFonts w:cstheme="majorHAnsi"/>
                <w:b/>
                <w:sz w:val="24"/>
                <w:szCs w:val="24"/>
              </w:rPr>
              <w:t>July</w:t>
            </w:r>
            <w:r w:rsidR="00DF7DF5" w:rsidRPr="0095121F">
              <w:rPr>
                <w:rFonts w:cstheme="majorHAnsi"/>
                <w:b/>
                <w:sz w:val="24"/>
                <w:szCs w:val="24"/>
              </w:rPr>
              <w:t xml:space="preserve"> 2017</w:t>
            </w:r>
          </w:p>
        </w:tc>
        <w:tc>
          <w:tcPr>
            <w:tcW w:w="5670" w:type="dxa"/>
            <w:vMerge/>
          </w:tcPr>
          <w:p w:rsidR="00DF7DF5" w:rsidRPr="0095121F" w:rsidRDefault="00DF7DF5" w:rsidP="00417C22">
            <w:pPr>
              <w:pStyle w:val="NoSpacing"/>
              <w:rPr>
                <w:sz w:val="24"/>
                <w:szCs w:val="24"/>
              </w:rPr>
            </w:pPr>
          </w:p>
        </w:tc>
      </w:tr>
      <w:tr w:rsidR="00DF7DF5" w:rsidRPr="0095121F" w:rsidTr="0095121F">
        <w:tc>
          <w:tcPr>
            <w:tcW w:w="1345" w:type="dxa"/>
          </w:tcPr>
          <w:p w:rsidR="00DF7DF5" w:rsidRPr="0095121F" w:rsidRDefault="00DF7DF5" w:rsidP="00417C22">
            <w:pPr>
              <w:pStyle w:val="NoSpacing"/>
              <w:rPr>
                <w:sz w:val="24"/>
                <w:szCs w:val="24"/>
              </w:rPr>
            </w:pPr>
            <w:r w:rsidRPr="0095121F">
              <w:rPr>
                <w:sz w:val="24"/>
                <w:szCs w:val="24"/>
              </w:rPr>
              <w:t>Augusta</w:t>
            </w:r>
          </w:p>
        </w:tc>
        <w:tc>
          <w:tcPr>
            <w:tcW w:w="1985" w:type="dxa"/>
          </w:tcPr>
          <w:p w:rsidR="00DF7DF5" w:rsidRPr="0095121F" w:rsidRDefault="00DF7DF5" w:rsidP="00417C22">
            <w:pPr>
              <w:pStyle w:val="NoSpacing"/>
              <w:rPr>
                <w:sz w:val="24"/>
                <w:szCs w:val="24"/>
              </w:rPr>
            </w:pPr>
            <w:r w:rsidRPr="0095121F">
              <w:rPr>
                <w:sz w:val="24"/>
                <w:szCs w:val="24"/>
              </w:rPr>
              <w:t>13</w:t>
            </w:r>
          </w:p>
        </w:tc>
        <w:tc>
          <w:tcPr>
            <w:tcW w:w="1980" w:type="dxa"/>
          </w:tcPr>
          <w:p w:rsidR="00DF7DF5" w:rsidRPr="0095121F" w:rsidRDefault="00DF7DF5" w:rsidP="00417C22">
            <w:pPr>
              <w:pStyle w:val="NoSpacing"/>
              <w:rPr>
                <w:sz w:val="24"/>
                <w:szCs w:val="24"/>
              </w:rPr>
            </w:pPr>
            <w:r w:rsidRPr="0095121F">
              <w:rPr>
                <w:sz w:val="24"/>
                <w:szCs w:val="24"/>
              </w:rPr>
              <w:t>5</w:t>
            </w:r>
          </w:p>
        </w:tc>
        <w:tc>
          <w:tcPr>
            <w:tcW w:w="5670" w:type="dxa"/>
            <w:vMerge/>
          </w:tcPr>
          <w:p w:rsidR="00DF7DF5" w:rsidRPr="0095121F" w:rsidRDefault="00DF7DF5" w:rsidP="00417C22">
            <w:pPr>
              <w:pStyle w:val="NoSpacing"/>
              <w:rPr>
                <w:sz w:val="24"/>
                <w:szCs w:val="24"/>
              </w:rPr>
            </w:pPr>
          </w:p>
        </w:tc>
      </w:tr>
      <w:tr w:rsidR="00DF7DF5" w:rsidRPr="0095121F" w:rsidTr="0095121F">
        <w:tc>
          <w:tcPr>
            <w:tcW w:w="1345" w:type="dxa"/>
          </w:tcPr>
          <w:p w:rsidR="00DF7DF5" w:rsidRPr="0095121F" w:rsidRDefault="00DF7DF5" w:rsidP="00417C22">
            <w:pPr>
              <w:pStyle w:val="NoSpacing"/>
              <w:rPr>
                <w:sz w:val="24"/>
                <w:szCs w:val="24"/>
              </w:rPr>
            </w:pPr>
            <w:r w:rsidRPr="0095121F">
              <w:rPr>
                <w:sz w:val="24"/>
                <w:szCs w:val="24"/>
              </w:rPr>
              <w:t>Bangor</w:t>
            </w:r>
          </w:p>
        </w:tc>
        <w:tc>
          <w:tcPr>
            <w:tcW w:w="1985" w:type="dxa"/>
          </w:tcPr>
          <w:p w:rsidR="00DF7DF5" w:rsidRPr="0095121F" w:rsidRDefault="00DF7DF5" w:rsidP="00417C22">
            <w:pPr>
              <w:pStyle w:val="NoSpacing"/>
              <w:rPr>
                <w:sz w:val="24"/>
                <w:szCs w:val="24"/>
              </w:rPr>
            </w:pPr>
            <w:r w:rsidRPr="0095121F">
              <w:rPr>
                <w:sz w:val="24"/>
                <w:szCs w:val="24"/>
              </w:rPr>
              <w:t>10</w:t>
            </w:r>
          </w:p>
        </w:tc>
        <w:tc>
          <w:tcPr>
            <w:tcW w:w="1980" w:type="dxa"/>
          </w:tcPr>
          <w:p w:rsidR="00DF7DF5" w:rsidRPr="0095121F" w:rsidRDefault="00DF7DF5" w:rsidP="00417C22">
            <w:pPr>
              <w:pStyle w:val="NoSpacing"/>
              <w:rPr>
                <w:sz w:val="24"/>
                <w:szCs w:val="24"/>
              </w:rPr>
            </w:pPr>
            <w:r w:rsidRPr="0095121F">
              <w:rPr>
                <w:sz w:val="24"/>
                <w:szCs w:val="24"/>
              </w:rPr>
              <w:t>9</w:t>
            </w:r>
          </w:p>
        </w:tc>
        <w:tc>
          <w:tcPr>
            <w:tcW w:w="5670" w:type="dxa"/>
            <w:vMerge/>
          </w:tcPr>
          <w:p w:rsidR="00DF7DF5" w:rsidRPr="0095121F" w:rsidRDefault="00DF7DF5" w:rsidP="00417C22">
            <w:pPr>
              <w:pStyle w:val="NoSpacing"/>
              <w:rPr>
                <w:sz w:val="24"/>
                <w:szCs w:val="24"/>
              </w:rPr>
            </w:pPr>
          </w:p>
        </w:tc>
      </w:tr>
      <w:tr w:rsidR="00DF7DF5" w:rsidRPr="0095121F" w:rsidTr="0095121F">
        <w:tc>
          <w:tcPr>
            <w:tcW w:w="1345" w:type="dxa"/>
          </w:tcPr>
          <w:p w:rsidR="00DF7DF5" w:rsidRPr="0095121F" w:rsidRDefault="00DF7DF5" w:rsidP="00417C22">
            <w:pPr>
              <w:pStyle w:val="NoSpacing"/>
              <w:rPr>
                <w:sz w:val="24"/>
                <w:szCs w:val="24"/>
              </w:rPr>
            </w:pPr>
            <w:r w:rsidRPr="0095121F">
              <w:rPr>
                <w:sz w:val="24"/>
                <w:szCs w:val="24"/>
              </w:rPr>
              <w:t>Brunswick</w:t>
            </w:r>
          </w:p>
        </w:tc>
        <w:tc>
          <w:tcPr>
            <w:tcW w:w="1985" w:type="dxa"/>
          </w:tcPr>
          <w:p w:rsidR="00DF7DF5" w:rsidRPr="0095121F" w:rsidRDefault="00DF7DF5" w:rsidP="00417C22">
            <w:pPr>
              <w:pStyle w:val="NoSpacing"/>
              <w:rPr>
                <w:sz w:val="24"/>
                <w:szCs w:val="24"/>
              </w:rPr>
            </w:pPr>
            <w:r w:rsidRPr="0095121F">
              <w:rPr>
                <w:sz w:val="24"/>
                <w:szCs w:val="24"/>
              </w:rPr>
              <w:t>2</w:t>
            </w:r>
          </w:p>
        </w:tc>
        <w:tc>
          <w:tcPr>
            <w:tcW w:w="1980" w:type="dxa"/>
          </w:tcPr>
          <w:p w:rsidR="00DF7DF5" w:rsidRPr="0095121F" w:rsidRDefault="00DF7DF5" w:rsidP="00417C22">
            <w:pPr>
              <w:pStyle w:val="NoSpacing"/>
              <w:rPr>
                <w:sz w:val="24"/>
                <w:szCs w:val="24"/>
              </w:rPr>
            </w:pPr>
            <w:r w:rsidRPr="0095121F">
              <w:rPr>
                <w:sz w:val="24"/>
                <w:szCs w:val="24"/>
              </w:rPr>
              <w:t>18</w:t>
            </w:r>
          </w:p>
        </w:tc>
        <w:tc>
          <w:tcPr>
            <w:tcW w:w="5670" w:type="dxa"/>
            <w:vMerge/>
          </w:tcPr>
          <w:p w:rsidR="00DF7DF5" w:rsidRPr="0095121F" w:rsidRDefault="00DF7DF5" w:rsidP="00417C22">
            <w:pPr>
              <w:pStyle w:val="NoSpacing"/>
              <w:rPr>
                <w:sz w:val="24"/>
                <w:szCs w:val="24"/>
              </w:rPr>
            </w:pPr>
          </w:p>
        </w:tc>
      </w:tr>
      <w:tr w:rsidR="00DF7DF5" w:rsidRPr="0095121F" w:rsidTr="0095121F">
        <w:tc>
          <w:tcPr>
            <w:tcW w:w="1345" w:type="dxa"/>
          </w:tcPr>
          <w:p w:rsidR="00DF7DF5" w:rsidRPr="0095121F" w:rsidRDefault="00DF7DF5" w:rsidP="00417C22">
            <w:pPr>
              <w:pStyle w:val="NoSpacing"/>
              <w:rPr>
                <w:sz w:val="24"/>
                <w:szCs w:val="24"/>
              </w:rPr>
            </w:pPr>
            <w:r w:rsidRPr="0095121F">
              <w:rPr>
                <w:sz w:val="24"/>
                <w:szCs w:val="24"/>
              </w:rPr>
              <w:t>Portland</w:t>
            </w:r>
          </w:p>
        </w:tc>
        <w:tc>
          <w:tcPr>
            <w:tcW w:w="1985" w:type="dxa"/>
          </w:tcPr>
          <w:p w:rsidR="00DF7DF5" w:rsidRPr="0095121F" w:rsidRDefault="00DF7DF5" w:rsidP="00417C22">
            <w:pPr>
              <w:pStyle w:val="NoSpacing"/>
              <w:rPr>
                <w:sz w:val="24"/>
                <w:szCs w:val="24"/>
              </w:rPr>
            </w:pPr>
            <w:r w:rsidRPr="0095121F">
              <w:rPr>
                <w:sz w:val="24"/>
                <w:szCs w:val="24"/>
              </w:rPr>
              <w:t>55</w:t>
            </w:r>
          </w:p>
        </w:tc>
        <w:tc>
          <w:tcPr>
            <w:tcW w:w="1980" w:type="dxa"/>
          </w:tcPr>
          <w:p w:rsidR="00DF7DF5" w:rsidRPr="0095121F" w:rsidRDefault="00DF7DF5" w:rsidP="00417C22">
            <w:pPr>
              <w:pStyle w:val="NoSpacing"/>
              <w:rPr>
                <w:sz w:val="24"/>
                <w:szCs w:val="24"/>
              </w:rPr>
            </w:pPr>
            <w:r w:rsidRPr="0095121F">
              <w:rPr>
                <w:sz w:val="24"/>
                <w:szCs w:val="24"/>
              </w:rPr>
              <w:t>50</w:t>
            </w:r>
          </w:p>
        </w:tc>
        <w:tc>
          <w:tcPr>
            <w:tcW w:w="5670" w:type="dxa"/>
            <w:vMerge/>
          </w:tcPr>
          <w:p w:rsidR="00DF7DF5" w:rsidRPr="0095121F" w:rsidRDefault="00DF7DF5" w:rsidP="00417C22">
            <w:pPr>
              <w:pStyle w:val="NoSpacing"/>
              <w:rPr>
                <w:sz w:val="24"/>
                <w:szCs w:val="24"/>
              </w:rPr>
            </w:pPr>
          </w:p>
        </w:tc>
      </w:tr>
      <w:tr w:rsidR="00DF7DF5" w:rsidRPr="0095121F" w:rsidTr="0095121F">
        <w:tc>
          <w:tcPr>
            <w:tcW w:w="1345" w:type="dxa"/>
          </w:tcPr>
          <w:p w:rsidR="00DF7DF5" w:rsidRPr="0095121F" w:rsidRDefault="00DF7DF5" w:rsidP="00417C22">
            <w:pPr>
              <w:pStyle w:val="NoSpacing"/>
              <w:rPr>
                <w:sz w:val="24"/>
                <w:szCs w:val="24"/>
              </w:rPr>
            </w:pPr>
            <w:r w:rsidRPr="0095121F">
              <w:rPr>
                <w:sz w:val="24"/>
                <w:szCs w:val="24"/>
              </w:rPr>
              <w:t>Waterville</w:t>
            </w:r>
          </w:p>
        </w:tc>
        <w:tc>
          <w:tcPr>
            <w:tcW w:w="1985" w:type="dxa"/>
          </w:tcPr>
          <w:p w:rsidR="00DF7DF5" w:rsidRPr="0095121F" w:rsidRDefault="00DF7DF5" w:rsidP="00417C22">
            <w:pPr>
              <w:pStyle w:val="NoSpacing"/>
              <w:rPr>
                <w:sz w:val="24"/>
                <w:szCs w:val="24"/>
              </w:rPr>
            </w:pPr>
            <w:r w:rsidRPr="0095121F">
              <w:rPr>
                <w:sz w:val="24"/>
                <w:szCs w:val="24"/>
              </w:rPr>
              <w:t>0</w:t>
            </w:r>
          </w:p>
        </w:tc>
        <w:tc>
          <w:tcPr>
            <w:tcW w:w="1980" w:type="dxa"/>
          </w:tcPr>
          <w:p w:rsidR="00DF7DF5" w:rsidRPr="0095121F" w:rsidRDefault="00DF7DF5" w:rsidP="00417C22">
            <w:pPr>
              <w:pStyle w:val="NoSpacing"/>
              <w:rPr>
                <w:sz w:val="24"/>
                <w:szCs w:val="24"/>
              </w:rPr>
            </w:pPr>
            <w:r w:rsidRPr="0095121F">
              <w:rPr>
                <w:sz w:val="24"/>
                <w:szCs w:val="24"/>
              </w:rPr>
              <w:t>2</w:t>
            </w:r>
          </w:p>
        </w:tc>
        <w:tc>
          <w:tcPr>
            <w:tcW w:w="5670" w:type="dxa"/>
            <w:vMerge/>
          </w:tcPr>
          <w:p w:rsidR="00DF7DF5" w:rsidRPr="0095121F" w:rsidRDefault="00DF7DF5" w:rsidP="00417C22">
            <w:pPr>
              <w:pStyle w:val="NoSpacing"/>
              <w:rPr>
                <w:sz w:val="24"/>
                <w:szCs w:val="24"/>
              </w:rPr>
            </w:pPr>
          </w:p>
        </w:tc>
      </w:tr>
    </w:tbl>
    <w:p w:rsidR="00290B09" w:rsidRPr="00290B09" w:rsidRDefault="00290B09" w:rsidP="00AE232B">
      <w:pPr>
        <w:spacing w:after="120" w:line="276" w:lineRule="auto"/>
        <w:ind w:right="-720"/>
        <w:rPr>
          <w:szCs w:val="24"/>
        </w:rPr>
      </w:pPr>
    </w:p>
    <w:p w:rsidR="0092574F" w:rsidRPr="00290B09" w:rsidRDefault="0092574F" w:rsidP="00290B09">
      <w:pPr>
        <w:ind w:left="-720" w:right="-720"/>
        <w:rPr>
          <w:szCs w:val="24"/>
        </w:rPr>
      </w:pPr>
    </w:p>
    <w:sectPr w:rsidR="0092574F" w:rsidRPr="00290B09" w:rsidSect="00513056">
      <w:footerReference w:type="default" r:id="rId7"/>
      <w:headerReference w:type="first" r:id="rId8"/>
      <w:footerReference w:type="first" r:id="rId9"/>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09" w:rsidRDefault="00290B09">
      <w:r>
        <w:separator/>
      </w:r>
    </w:p>
  </w:endnote>
  <w:endnote w:type="continuationSeparator" w:id="0">
    <w:p w:rsidR="00290B09" w:rsidRDefault="0029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IntenseReference"/>
      </w:rPr>
      <w:id w:val="1839115741"/>
      <w:docPartObj>
        <w:docPartGallery w:val="Page Numbers (Bottom of Page)"/>
        <w:docPartUnique/>
      </w:docPartObj>
    </w:sdtPr>
    <w:sdtEndPr>
      <w:rPr>
        <w:rStyle w:val="IntenseReference"/>
      </w:rPr>
    </w:sdtEndPr>
    <w:sdtContent>
      <w:sdt>
        <w:sdtPr>
          <w:rPr>
            <w:rStyle w:val="IntenseReference"/>
          </w:rPr>
          <w:id w:val="1246076931"/>
          <w:docPartObj>
            <w:docPartGallery w:val="Page Numbers (Top of Page)"/>
            <w:docPartUnique/>
          </w:docPartObj>
        </w:sdtPr>
        <w:sdtEndPr>
          <w:rPr>
            <w:rStyle w:val="IntenseReference"/>
          </w:rPr>
        </w:sdtEndPr>
        <w:sdtContent>
          <w:p w:rsidR="00290B09" w:rsidRPr="006B254E" w:rsidRDefault="00290B09" w:rsidP="00290B09">
            <w:pPr>
              <w:pStyle w:val="Subtitle"/>
              <w:pBdr>
                <w:top w:val="thickThinSmallGap" w:sz="24" w:space="0" w:color="363B73" w:themeColor="text2"/>
              </w:pBdr>
              <w:tabs>
                <w:tab w:val="right" w:pos="10080"/>
              </w:tabs>
              <w:ind w:left="-720" w:right="-720"/>
              <w:rPr>
                <w:rStyle w:val="IntenseReference"/>
              </w:rPr>
            </w:pPr>
            <w:r>
              <w:rPr>
                <w:rStyle w:val="IntenseReference"/>
              </w:rPr>
              <w:t>7/7/2017</w:t>
            </w:r>
            <w:r>
              <w:rPr>
                <w:rStyle w:val="IntenseReference"/>
              </w:rPr>
              <w:tab/>
            </w:r>
            <w:r w:rsidRPr="006B254E">
              <w:rPr>
                <w:rStyle w:val="IntenseReference"/>
              </w:rPr>
              <w:t xml:space="preserve">Page </w:t>
            </w:r>
            <w:r w:rsidRPr="006B254E">
              <w:rPr>
                <w:rStyle w:val="IntenseReference"/>
              </w:rPr>
              <w:fldChar w:fldCharType="begin"/>
            </w:r>
            <w:r w:rsidRPr="006B254E">
              <w:rPr>
                <w:rStyle w:val="IntenseReference"/>
              </w:rPr>
              <w:instrText xml:space="preserve"> PAGE </w:instrText>
            </w:r>
            <w:r w:rsidRPr="006B254E">
              <w:rPr>
                <w:rStyle w:val="IntenseReference"/>
              </w:rPr>
              <w:fldChar w:fldCharType="separate"/>
            </w:r>
            <w:r w:rsidR="00FE281B">
              <w:rPr>
                <w:rStyle w:val="IntenseReference"/>
                <w:noProof/>
              </w:rPr>
              <w:t>2</w:t>
            </w:r>
            <w:r w:rsidRPr="006B254E">
              <w:rPr>
                <w:rStyle w:val="IntenseReference"/>
              </w:rPr>
              <w:fldChar w:fldCharType="end"/>
            </w:r>
            <w:r w:rsidRPr="006B254E">
              <w:rPr>
                <w:rStyle w:val="IntenseReference"/>
              </w:rPr>
              <w:t xml:space="preserve"> of </w:t>
            </w:r>
            <w:r w:rsidRPr="006B254E">
              <w:rPr>
                <w:rStyle w:val="IntenseReference"/>
              </w:rPr>
              <w:fldChar w:fldCharType="begin"/>
            </w:r>
            <w:r w:rsidRPr="006B254E">
              <w:rPr>
                <w:rStyle w:val="IntenseReference"/>
              </w:rPr>
              <w:instrText xml:space="preserve"> NUMPAGES  </w:instrText>
            </w:r>
            <w:r w:rsidRPr="006B254E">
              <w:rPr>
                <w:rStyle w:val="IntenseReference"/>
              </w:rPr>
              <w:fldChar w:fldCharType="separate"/>
            </w:r>
            <w:r w:rsidR="00FE281B">
              <w:rPr>
                <w:rStyle w:val="IntenseReference"/>
                <w:noProof/>
              </w:rPr>
              <w:t>2</w:t>
            </w:r>
            <w:r w:rsidRPr="006B254E">
              <w:rPr>
                <w:rStyle w:val="IntenseReference"/>
              </w:rPr>
              <w:fldChar w:fldCharType="end"/>
            </w:r>
          </w:p>
        </w:sdtContent>
      </w:sdt>
    </w:sdtContent>
  </w:sdt>
  <w:p w:rsidR="00290B09" w:rsidRDefault="00290B09" w:rsidP="00290B09">
    <w:pPr>
      <w:pStyle w:val="Footer"/>
    </w:pPr>
  </w:p>
  <w:p w:rsidR="00290B09" w:rsidRDefault="00290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IntenseReference"/>
      </w:rPr>
      <w:id w:val="-784964724"/>
      <w:docPartObj>
        <w:docPartGallery w:val="Page Numbers (Bottom of Page)"/>
        <w:docPartUnique/>
      </w:docPartObj>
    </w:sdtPr>
    <w:sdtEndPr>
      <w:rPr>
        <w:rStyle w:val="IntenseReference"/>
      </w:rPr>
    </w:sdtEndPr>
    <w:sdtContent>
      <w:sdt>
        <w:sdtPr>
          <w:rPr>
            <w:rStyle w:val="IntenseReference"/>
          </w:rPr>
          <w:id w:val="-1769616900"/>
          <w:docPartObj>
            <w:docPartGallery w:val="Page Numbers (Top of Page)"/>
            <w:docPartUnique/>
          </w:docPartObj>
        </w:sdtPr>
        <w:sdtEndPr>
          <w:rPr>
            <w:rStyle w:val="IntenseReference"/>
          </w:rPr>
        </w:sdtEndPr>
        <w:sdtContent>
          <w:p w:rsidR="00290B09" w:rsidRPr="006B254E" w:rsidRDefault="00290B09" w:rsidP="00290B09">
            <w:pPr>
              <w:pStyle w:val="Subtitle"/>
              <w:tabs>
                <w:tab w:val="right" w:pos="10080"/>
              </w:tabs>
              <w:ind w:left="-720" w:right="-720"/>
              <w:rPr>
                <w:rStyle w:val="IntenseReference"/>
              </w:rPr>
            </w:pPr>
            <w:r>
              <w:rPr>
                <w:rStyle w:val="IntenseReference"/>
              </w:rPr>
              <w:t>7/7/2017</w:t>
            </w:r>
            <w:r>
              <w:rPr>
                <w:rStyle w:val="IntenseReference"/>
              </w:rPr>
              <w:tab/>
            </w:r>
            <w:r w:rsidRPr="006B254E">
              <w:rPr>
                <w:rStyle w:val="IntenseReference"/>
              </w:rPr>
              <w:t xml:space="preserve">Page </w:t>
            </w:r>
            <w:r w:rsidRPr="006B254E">
              <w:rPr>
                <w:rStyle w:val="IntenseReference"/>
              </w:rPr>
              <w:fldChar w:fldCharType="begin"/>
            </w:r>
            <w:r w:rsidRPr="006B254E">
              <w:rPr>
                <w:rStyle w:val="IntenseReference"/>
              </w:rPr>
              <w:instrText xml:space="preserve"> PAGE </w:instrText>
            </w:r>
            <w:r w:rsidRPr="006B254E">
              <w:rPr>
                <w:rStyle w:val="IntenseReference"/>
              </w:rPr>
              <w:fldChar w:fldCharType="separate"/>
            </w:r>
            <w:r w:rsidR="00FE281B">
              <w:rPr>
                <w:rStyle w:val="IntenseReference"/>
                <w:noProof/>
              </w:rPr>
              <w:t>1</w:t>
            </w:r>
            <w:r w:rsidRPr="006B254E">
              <w:rPr>
                <w:rStyle w:val="IntenseReference"/>
              </w:rPr>
              <w:fldChar w:fldCharType="end"/>
            </w:r>
            <w:r w:rsidRPr="006B254E">
              <w:rPr>
                <w:rStyle w:val="IntenseReference"/>
              </w:rPr>
              <w:t xml:space="preserve"> of </w:t>
            </w:r>
            <w:r w:rsidRPr="006B254E">
              <w:rPr>
                <w:rStyle w:val="IntenseReference"/>
              </w:rPr>
              <w:fldChar w:fldCharType="begin"/>
            </w:r>
            <w:r w:rsidRPr="006B254E">
              <w:rPr>
                <w:rStyle w:val="IntenseReference"/>
              </w:rPr>
              <w:instrText xml:space="preserve"> NUMPAGES  </w:instrText>
            </w:r>
            <w:r w:rsidRPr="006B254E">
              <w:rPr>
                <w:rStyle w:val="IntenseReference"/>
              </w:rPr>
              <w:fldChar w:fldCharType="separate"/>
            </w:r>
            <w:r w:rsidR="00FE281B">
              <w:rPr>
                <w:rStyle w:val="IntenseReference"/>
                <w:noProof/>
              </w:rPr>
              <w:t>2</w:t>
            </w:r>
            <w:r w:rsidRPr="006B254E">
              <w:rPr>
                <w:rStyle w:val="IntenseReference"/>
              </w:rPr>
              <w:fldChar w:fldCharType="end"/>
            </w:r>
          </w:p>
        </w:sdtContent>
      </w:sdt>
    </w:sdtContent>
  </w:sdt>
  <w:p w:rsidR="007B38DC" w:rsidRPr="00D0330F" w:rsidRDefault="00290B09" w:rsidP="00290B09">
    <w:pPr>
      <w:pStyle w:val="Footer"/>
      <w:ind w:left="-720" w:right="-720"/>
    </w:pPr>
    <w:r>
      <w:rPr>
        <w:noProof/>
      </w:rPr>
      <w:t xml:space="preserve"> </w:t>
    </w:r>
    <w:r w:rsidR="00D0330F">
      <w:rPr>
        <w:noProof/>
      </w:rPr>
      <w:drawing>
        <wp:anchor distT="0" distB="0" distL="114300" distR="114300" simplePos="0" relativeHeight="251664384" behindDoc="0" locked="0" layoutInCell="1" allowOverlap="1">
          <wp:simplePos x="0" y="0"/>
          <wp:positionH relativeFrom="column">
            <wp:posOffset>-922020</wp:posOffset>
          </wp:positionH>
          <wp:positionV relativeFrom="paragraph">
            <wp:posOffset>27940</wp:posOffset>
          </wp:positionV>
          <wp:extent cx="7772400" cy="586740"/>
          <wp:effectExtent l="19050" t="0" r="0" b="0"/>
          <wp:wrapNone/>
          <wp:docPr id="1" name="Picture 1" descr="H:\New Logos from Lapchick\New MaineHousing Logos 2006 combined with the latest versions\for letterhead template\MSHA_letterhead-footer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s from Lapchick\New MaineHousing Logos 2006 combined with the latest versions\for letterhead template\MSHA_letterhead-footer B&amp;W.png"/>
                  <pic:cNvPicPr>
                    <a:picLocks noChangeAspect="1" noChangeArrowheads="1"/>
                  </pic:cNvPicPr>
                </pic:nvPicPr>
                <pic:blipFill>
                  <a:blip r:embed="rId1"/>
                  <a:srcRect/>
                  <a:stretch>
                    <a:fillRect/>
                  </a:stretch>
                </pic:blipFill>
                <pic:spPr bwMode="auto">
                  <a:xfrm>
                    <a:off x="0" y="0"/>
                    <a:ext cx="7772400" cy="586740"/>
                  </a:xfrm>
                  <a:prstGeom prst="rect">
                    <a:avLst/>
                  </a:prstGeom>
                  <a:noFill/>
                  <a:ln w="9525">
                    <a:noFill/>
                    <a:miter lim="800000"/>
                    <a:headEnd/>
                    <a:tailEnd/>
                  </a:ln>
                </pic:spPr>
              </pic:pic>
            </a:graphicData>
          </a:graphic>
        </wp:anchor>
      </w:drawing>
    </w:r>
    <w:r w:rsidR="0024709D">
      <w:rPr>
        <w:noProof/>
      </w:rPr>
      <mc:AlternateContent>
        <mc:Choice Requires="wps">
          <w:drawing>
            <wp:anchor distT="0" distB="0" distL="114300" distR="114300" simplePos="0" relativeHeight="251663360" behindDoc="0" locked="0" layoutInCell="1" allowOverlap="1">
              <wp:simplePos x="0" y="0"/>
              <wp:positionH relativeFrom="column">
                <wp:posOffset>-667385</wp:posOffset>
              </wp:positionH>
              <wp:positionV relativeFrom="paragraph">
                <wp:posOffset>245745</wp:posOffset>
              </wp:positionV>
              <wp:extent cx="2829560" cy="321310"/>
              <wp:effectExtent l="0" t="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6CC5" id="Rectangle 1" o:spid="_x0000_s1026" style="position:absolute;margin-left:-52.55pt;margin-top:19.35pt;width:222.8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09" w:rsidRDefault="00290B09">
      <w:r>
        <w:separator/>
      </w:r>
    </w:p>
  </w:footnote>
  <w:footnote w:type="continuationSeparator" w:id="0">
    <w:p w:rsidR="00290B09" w:rsidRDefault="0029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DC" w:rsidRPr="00D0330F" w:rsidRDefault="00EF4671">
    <w:pPr>
      <w:pStyle w:val="Header"/>
    </w:pPr>
    <w:r w:rsidRPr="00D0330F">
      <w:rPr>
        <w:noProof/>
      </w:rPr>
      <w:drawing>
        <wp:anchor distT="0" distB="0" distL="114300" distR="114300" simplePos="0" relativeHeight="251661312" behindDoc="0" locked="0" layoutInCell="1" allowOverlap="1">
          <wp:simplePos x="0" y="0"/>
          <wp:positionH relativeFrom="column">
            <wp:posOffset>-920750</wp:posOffset>
          </wp:positionH>
          <wp:positionV relativeFrom="paragraph">
            <wp:posOffset>-457200</wp:posOffset>
          </wp:positionV>
          <wp:extent cx="7778750" cy="990600"/>
          <wp:effectExtent l="19050" t="0" r="0" b="0"/>
          <wp:wrapNone/>
          <wp:docPr id="8" name="Picture 8" descr="MSH_letterhead-top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H_letterhead-top B&amp;W"/>
                  <pic:cNvPicPr>
                    <a:picLocks noChangeAspect="1" noChangeArrowheads="1"/>
                  </pic:cNvPicPr>
                </pic:nvPicPr>
                <pic:blipFill>
                  <a:blip r:embed="rId1"/>
                  <a:srcRect/>
                  <a:stretch>
                    <a:fillRect/>
                  </a:stretch>
                </pic:blipFill>
                <pic:spPr bwMode="auto">
                  <a:xfrm>
                    <a:off x="0" y="0"/>
                    <a:ext cx="7778750" cy="990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64B7"/>
    <w:multiLevelType w:val="hybridMultilevel"/>
    <w:tmpl w:val="34BE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B1FFF"/>
    <w:multiLevelType w:val="hybridMultilevel"/>
    <w:tmpl w:val="043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201"/>
    <w:multiLevelType w:val="hybridMultilevel"/>
    <w:tmpl w:val="1AB4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9"/>
    <w:rsid w:val="000B2529"/>
    <w:rsid w:val="001E2A12"/>
    <w:rsid w:val="0024709D"/>
    <w:rsid w:val="00290B09"/>
    <w:rsid w:val="003A7CB0"/>
    <w:rsid w:val="004322E8"/>
    <w:rsid w:val="00513056"/>
    <w:rsid w:val="005C00B7"/>
    <w:rsid w:val="00742F0D"/>
    <w:rsid w:val="00743CDB"/>
    <w:rsid w:val="007B38DC"/>
    <w:rsid w:val="00900161"/>
    <w:rsid w:val="0092574F"/>
    <w:rsid w:val="00932498"/>
    <w:rsid w:val="0095121F"/>
    <w:rsid w:val="00A14187"/>
    <w:rsid w:val="00A8562E"/>
    <w:rsid w:val="00AC6559"/>
    <w:rsid w:val="00AE232B"/>
    <w:rsid w:val="00AE40A4"/>
    <w:rsid w:val="00B452EA"/>
    <w:rsid w:val="00CC45FC"/>
    <w:rsid w:val="00D0330F"/>
    <w:rsid w:val="00DF7DF5"/>
    <w:rsid w:val="00EF4671"/>
    <w:rsid w:val="00F637A1"/>
    <w:rsid w:val="00FD1FF7"/>
    <w:rsid w:val="00FE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7CA576-2151-4BE7-BA04-5B160581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09"/>
    <w:pPr>
      <w:spacing w:line="259" w:lineRule="auto"/>
    </w:pPr>
    <w:rPr>
      <w:rFonts w:asciiTheme="minorHAnsi" w:eastAsiaTheme="minorHAnsi" w:hAnsiTheme="minorHAnsi" w:cstheme="minorBidi"/>
      <w:sz w:val="24"/>
      <w:szCs w:val="22"/>
    </w:rPr>
  </w:style>
  <w:style w:type="paragraph" w:styleId="Heading1">
    <w:name w:val="heading 1"/>
    <w:basedOn w:val="Normal"/>
    <w:next w:val="Normal"/>
    <w:link w:val="Heading1Char"/>
    <w:uiPriority w:val="9"/>
    <w:qFormat/>
    <w:rsid w:val="00290B09"/>
    <w:pPr>
      <w:keepNext/>
      <w:keepLines/>
      <w:pBdr>
        <w:bottom w:val="thinThickSmallGap" w:sz="24" w:space="1" w:color="363B73" w:themeColor="text2"/>
      </w:pBdr>
      <w:spacing w:before="240"/>
      <w:outlineLvl w:val="0"/>
    </w:pPr>
    <w:rPr>
      <w:rFonts w:asciiTheme="majorHAnsi" w:eastAsiaTheme="majorEastAsia" w:hAnsiTheme="majorHAnsi" w:cstheme="majorBidi"/>
      <w:color w:val="AFBD20"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513056"/>
    <w:pPr>
      <w:tabs>
        <w:tab w:val="center" w:pos="4320"/>
        <w:tab w:val="right" w:pos="8640"/>
      </w:tabs>
    </w:pPr>
  </w:style>
  <w:style w:type="paragraph" w:styleId="Footer">
    <w:name w:val="footer"/>
    <w:basedOn w:val="Normal"/>
    <w:link w:val="FooterChar"/>
    <w:uiPriority w:val="99"/>
    <w:rsid w:val="00513056"/>
    <w:pPr>
      <w:tabs>
        <w:tab w:val="center" w:pos="4320"/>
        <w:tab w:val="right" w:pos="8640"/>
      </w:tabs>
    </w:pPr>
  </w:style>
  <w:style w:type="paragraph" w:styleId="BalloonText">
    <w:name w:val="Balloon Text"/>
    <w:basedOn w:val="Normal"/>
    <w:link w:val="BalloonTextChar"/>
    <w:uiPriority w:val="99"/>
    <w:semiHidden/>
    <w:unhideWhenUsed/>
    <w:rsid w:val="00D0330F"/>
    <w:rPr>
      <w:rFonts w:ascii="Tahoma" w:hAnsi="Tahoma" w:cs="Tahoma"/>
      <w:sz w:val="16"/>
      <w:szCs w:val="16"/>
    </w:rPr>
  </w:style>
  <w:style w:type="character" w:customStyle="1" w:styleId="BalloonTextChar">
    <w:name w:val="Balloon Text Char"/>
    <w:basedOn w:val="DefaultParagraphFont"/>
    <w:link w:val="BalloonText"/>
    <w:uiPriority w:val="99"/>
    <w:semiHidden/>
    <w:rsid w:val="00D0330F"/>
    <w:rPr>
      <w:rFonts w:ascii="Tahoma" w:hAnsi="Tahoma" w:cs="Tahoma"/>
      <w:sz w:val="16"/>
      <w:szCs w:val="16"/>
    </w:rPr>
  </w:style>
  <w:style w:type="character" w:customStyle="1" w:styleId="Heading1Char">
    <w:name w:val="Heading 1 Char"/>
    <w:basedOn w:val="DefaultParagraphFont"/>
    <w:link w:val="Heading1"/>
    <w:uiPriority w:val="9"/>
    <w:rsid w:val="00290B09"/>
    <w:rPr>
      <w:rFonts w:asciiTheme="majorHAnsi" w:eastAsiaTheme="majorEastAsia" w:hAnsiTheme="majorHAnsi" w:cstheme="majorBidi"/>
      <w:color w:val="AFBD20" w:themeColor="accent2"/>
      <w:sz w:val="32"/>
      <w:szCs w:val="32"/>
    </w:rPr>
  </w:style>
  <w:style w:type="paragraph" w:styleId="ListParagraph">
    <w:name w:val="List Paragraph"/>
    <w:basedOn w:val="Normal"/>
    <w:uiPriority w:val="34"/>
    <w:qFormat/>
    <w:rsid w:val="00290B09"/>
    <w:pPr>
      <w:ind w:left="720"/>
      <w:contextualSpacing/>
    </w:pPr>
  </w:style>
  <w:style w:type="paragraph" w:styleId="NoSpacing">
    <w:name w:val="No Spacing"/>
    <w:uiPriority w:val="1"/>
    <w:qFormat/>
    <w:rsid w:val="00290B09"/>
    <w:rPr>
      <w:rFonts w:asciiTheme="minorHAnsi" w:eastAsiaTheme="minorEastAsia" w:hAnsiTheme="minorHAnsi" w:cstheme="minorBidi"/>
      <w:sz w:val="22"/>
      <w:szCs w:val="22"/>
    </w:rPr>
  </w:style>
  <w:style w:type="table" w:styleId="TableGrid">
    <w:name w:val="Table Grid"/>
    <w:basedOn w:val="TableNormal"/>
    <w:uiPriority w:val="59"/>
    <w:rsid w:val="00290B0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0B09"/>
    <w:rPr>
      <w:rFonts w:asciiTheme="minorHAnsi" w:eastAsiaTheme="minorHAnsi" w:hAnsiTheme="minorHAnsi" w:cstheme="minorBidi"/>
      <w:sz w:val="24"/>
      <w:szCs w:val="22"/>
    </w:rPr>
  </w:style>
  <w:style w:type="character" w:styleId="IntenseReference">
    <w:name w:val="Intense Reference"/>
    <w:basedOn w:val="DefaultParagraphFont"/>
    <w:uiPriority w:val="32"/>
    <w:qFormat/>
    <w:rsid w:val="00290B09"/>
    <w:rPr>
      <w:rFonts w:ascii="Arial" w:hAnsi="Arial"/>
      <w:b/>
      <w:bCs/>
      <w:smallCaps/>
      <w:color w:val="AFBD20" w:themeColor="accent2"/>
      <w:spacing w:val="5"/>
      <w:sz w:val="20"/>
      <w:bdr w:val="none" w:sz="0" w:space="0" w:color="auto"/>
    </w:rPr>
  </w:style>
  <w:style w:type="paragraph" w:styleId="Subtitle">
    <w:name w:val="Subtitle"/>
    <w:basedOn w:val="Normal"/>
    <w:next w:val="Normal"/>
    <w:link w:val="SubtitleChar"/>
    <w:uiPriority w:val="11"/>
    <w:qFormat/>
    <w:rsid w:val="00290B09"/>
    <w:pPr>
      <w:numPr>
        <w:ilvl w:val="1"/>
      </w:numPr>
      <w:pBdr>
        <w:top w:val="thickThinSmallGap" w:sz="24" w:space="1" w:color="363B73" w:themeColor="text2"/>
      </w:pBdr>
      <w:spacing w:after="160"/>
    </w:pPr>
    <w:rPr>
      <w:rFonts w:ascii="Arial" w:eastAsiaTheme="minorEastAsia" w:hAnsi="Arial"/>
      <w:color w:val="AFBD20" w:themeColor="accent2"/>
      <w:spacing w:val="15"/>
      <w:sz w:val="20"/>
    </w:rPr>
  </w:style>
  <w:style w:type="character" w:customStyle="1" w:styleId="SubtitleChar">
    <w:name w:val="Subtitle Char"/>
    <w:basedOn w:val="DefaultParagraphFont"/>
    <w:link w:val="Subtitle"/>
    <w:uiPriority w:val="11"/>
    <w:rsid w:val="00290B09"/>
    <w:rPr>
      <w:rFonts w:ascii="Arial" w:eastAsiaTheme="minorEastAsia" w:hAnsi="Arial" w:cstheme="minorBidi"/>
      <w:color w:val="AFBD20" w:themeColor="accent2"/>
      <w:spacing w:val="15"/>
      <w:szCs w:val="22"/>
    </w:rPr>
  </w:style>
  <w:style w:type="character" w:customStyle="1" w:styleId="FooterChar">
    <w:name w:val="Footer Char"/>
    <w:basedOn w:val="DefaultParagraphFont"/>
    <w:link w:val="Footer"/>
    <w:uiPriority w:val="99"/>
    <w:rsid w:val="00290B09"/>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20B&amp;W.dotx"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 B&amp;W</Template>
  <TotalTime>1</TotalTime>
  <Pages>2</Pages>
  <Words>471</Words>
  <Characters>2556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Barr</dc:creator>
  <cp:keywords/>
  <dc:description/>
  <cp:lastModifiedBy>Cindy Namer</cp:lastModifiedBy>
  <cp:revision>2</cp:revision>
  <cp:lastPrinted>2017-07-07T19:03:00Z</cp:lastPrinted>
  <dcterms:created xsi:type="dcterms:W3CDTF">2017-07-07T19:18:00Z</dcterms:created>
  <dcterms:modified xsi:type="dcterms:W3CDTF">2017-07-07T19:18:00Z</dcterms:modified>
</cp:coreProperties>
</file>